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2E8" w:rsidRPr="004402E8" w:rsidRDefault="00FF4951" w:rsidP="00F17DB3">
      <w:pPr>
        <w:jc w:val="center"/>
        <w:rPr>
          <w:rFonts w:asciiTheme="majorBidi" w:hAnsiTheme="majorBidi" w:cstheme="majorBidi"/>
          <w:b/>
          <w:bCs/>
          <w:sz w:val="24"/>
          <w:szCs w:val="24"/>
        </w:rPr>
      </w:pPr>
      <w:r w:rsidRPr="004402E8">
        <w:rPr>
          <w:rFonts w:asciiTheme="majorBidi" w:hAnsiTheme="majorBidi" w:cstheme="majorBidi"/>
          <w:b/>
          <w:bCs/>
          <w:sz w:val="24"/>
          <w:szCs w:val="24"/>
        </w:rPr>
        <w:t>OVERVIEW OF IMMIGRATION HABEAS</w:t>
      </w:r>
    </w:p>
    <w:p w:rsidR="004402E8" w:rsidRDefault="004402E8" w:rsidP="004402E8">
      <w:pPr>
        <w:rPr>
          <w:rFonts w:asciiTheme="majorBidi" w:hAnsiTheme="majorBidi" w:cstheme="majorBidi"/>
          <w:sz w:val="24"/>
          <w:szCs w:val="24"/>
        </w:rPr>
      </w:pPr>
    </w:p>
    <w:p w:rsidR="00CE1012" w:rsidRPr="002069D2" w:rsidRDefault="00CE1012" w:rsidP="004402E8">
      <w:pPr>
        <w:rPr>
          <w:rFonts w:asciiTheme="majorBidi" w:hAnsiTheme="majorBidi" w:cstheme="majorBidi"/>
          <w:sz w:val="24"/>
          <w:szCs w:val="24"/>
        </w:rPr>
      </w:pPr>
      <w:r w:rsidRPr="002069D2">
        <w:rPr>
          <w:rFonts w:asciiTheme="majorBidi" w:hAnsiTheme="majorBidi" w:cstheme="majorBidi"/>
          <w:i/>
          <w:iCs/>
          <w:sz w:val="24"/>
          <w:szCs w:val="24"/>
        </w:rPr>
        <w:t xml:space="preserve">This section is a “nuts and bolts” overview of </w:t>
      </w:r>
      <w:r w:rsidR="002069D2" w:rsidRPr="002069D2">
        <w:rPr>
          <w:rFonts w:asciiTheme="majorBidi" w:hAnsiTheme="majorBidi" w:cstheme="majorBidi"/>
          <w:i/>
          <w:iCs/>
          <w:sz w:val="24"/>
          <w:szCs w:val="24"/>
        </w:rPr>
        <w:t xml:space="preserve">habeas corpus in the immigration context.  The first two videos will provide a primer on immigration detention.  The AILA webinars, CLINIC Practitioner’s Guide, and AIC Practice Advisory are tailored to immigration practitioners looking to understand habeas practice.  Note that the CLINIC and AIC materials are somewhat dated—immigration habeas caselaw develops rapidly.  </w:t>
      </w:r>
      <w:proofErr w:type="gramStart"/>
      <w:r w:rsidR="002069D2" w:rsidRPr="002069D2">
        <w:rPr>
          <w:rFonts w:asciiTheme="majorBidi" w:hAnsiTheme="majorBidi" w:cstheme="majorBidi"/>
          <w:i/>
          <w:iCs/>
          <w:sz w:val="24"/>
          <w:szCs w:val="24"/>
        </w:rPr>
        <w:t>Finally</w:t>
      </w:r>
      <w:proofErr w:type="gramEnd"/>
      <w:r w:rsidR="002069D2" w:rsidRPr="002069D2">
        <w:rPr>
          <w:rFonts w:asciiTheme="majorBidi" w:hAnsiTheme="majorBidi" w:cstheme="majorBidi"/>
          <w:i/>
          <w:iCs/>
          <w:sz w:val="24"/>
          <w:szCs w:val="24"/>
        </w:rPr>
        <w:t xml:space="preserve"> in this section is Justice Breyer’s dissent in </w:t>
      </w:r>
      <w:r w:rsidR="002069D2" w:rsidRPr="002069D2">
        <w:rPr>
          <w:rFonts w:asciiTheme="majorBidi" w:hAnsiTheme="majorBidi" w:cstheme="majorBidi"/>
          <w:sz w:val="24"/>
          <w:szCs w:val="24"/>
        </w:rPr>
        <w:t>Jennings v. Rodriguez</w:t>
      </w:r>
      <w:r w:rsidR="002069D2" w:rsidRPr="002069D2">
        <w:rPr>
          <w:rFonts w:asciiTheme="majorBidi" w:hAnsiTheme="majorBidi" w:cstheme="majorBidi"/>
          <w:i/>
          <w:iCs/>
          <w:sz w:val="24"/>
          <w:szCs w:val="24"/>
        </w:rPr>
        <w:t>, a Supreme Court decision from February; while the decision itself addresses specific legal arguments (the canon of constitutional avoidance and statutory construction), Justice Breyer provides a helpful overview of the Court’s treatment of immigration detention and liberty interests.</w:t>
      </w:r>
      <w:r w:rsidR="002069D2">
        <w:rPr>
          <w:rFonts w:asciiTheme="majorBidi" w:hAnsiTheme="majorBidi" w:cstheme="majorBidi"/>
          <w:i/>
          <w:iCs/>
          <w:sz w:val="24"/>
          <w:szCs w:val="24"/>
        </w:rPr>
        <w:t xml:space="preserve">  As you read his dissent, pay attention to his discussion of </w:t>
      </w:r>
      <w:proofErr w:type="spellStart"/>
      <w:r w:rsidR="002069D2">
        <w:rPr>
          <w:rFonts w:asciiTheme="majorBidi" w:hAnsiTheme="majorBidi" w:cstheme="majorBidi"/>
          <w:sz w:val="24"/>
          <w:szCs w:val="24"/>
        </w:rPr>
        <w:t>Mezei</w:t>
      </w:r>
      <w:proofErr w:type="spellEnd"/>
      <w:r w:rsidR="002069D2">
        <w:rPr>
          <w:rFonts w:asciiTheme="majorBidi" w:hAnsiTheme="majorBidi" w:cstheme="majorBidi"/>
          <w:i/>
          <w:iCs/>
          <w:sz w:val="24"/>
          <w:szCs w:val="24"/>
        </w:rPr>
        <w:t xml:space="preserve">, </w:t>
      </w:r>
      <w:r w:rsidR="002069D2">
        <w:rPr>
          <w:rFonts w:asciiTheme="majorBidi" w:hAnsiTheme="majorBidi" w:cstheme="majorBidi"/>
          <w:sz w:val="24"/>
          <w:szCs w:val="24"/>
        </w:rPr>
        <w:t>Salerno</w:t>
      </w:r>
      <w:r w:rsidR="002069D2">
        <w:rPr>
          <w:rFonts w:asciiTheme="majorBidi" w:hAnsiTheme="majorBidi" w:cstheme="majorBidi"/>
          <w:i/>
          <w:iCs/>
          <w:sz w:val="24"/>
          <w:szCs w:val="24"/>
        </w:rPr>
        <w:t xml:space="preserve">, </w:t>
      </w:r>
      <w:proofErr w:type="spellStart"/>
      <w:r w:rsidR="002069D2">
        <w:rPr>
          <w:rFonts w:asciiTheme="majorBidi" w:hAnsiTheme="majorBidi" w:cstheme="majorBidi"/>
          <w:sz w:val="24"/>
          <w:szCs w:val="24"/>
        </w:rPr>
        <w:t>Zadvydas</w:t>
      </w:r>
      <w:proofErr w:type="spellEnd"/>
      <w:r w:rsidR="002069D2">
        <w:rPr>
          <w:rFonts w:asciiTheme="majorBidi" w:hAnsiTheme="majorBidi" w:cstheme="majorBidi"/>
          <w:i/>
          <w:iCs/>
          <w:sz w:val="24"/>
          <w:szCs w:val="24"/>
        </w:rPr>
        <w:t xml:space="preserve">, and </w:t>
      </w:r>
      <w:proofErr w:type="spellStart"/>
      <w:r w:rsidR="002069D2">
        <w:rPr>
          <w:rFonts w:asciiTheme="majorBidi" w:hAnsiTheme="majorBidi" w:cstheme="majorBidi"/>
          <w:sz w:val="24"/>
          <w:szCs w:val="24"/>
        </w:rPr>
        <w:t>Demore</w:t>
      </w:r>
      <w:proofErr w:type="spellEnd"/>
      <w:r w:rsidR="002069D2">
        <w:rPr>
          <w:rFonts w:asciiTheme="majorBidi" w:hAnsiTheme="majorBidi" w:cstheme="majorBidi"/>
          <w:sz w:val="24"/>
          <w:szCs w:val="24"/>
        </w:rPr>
        <w:t>, landmark cases on immigration detention and civil detention that form the bedrock of the cases that follow.</w:t>
      </w:r>
    </w:p>
    <w:p w:rsidR="00CE1012" w:rsidRDefault="00CE1012" w:rsidP="004402E8">
      <w:pPr>
        <w:rPr>
          <w:rFonts w:asciiTheme="majorBidi" w:hAnsiTheme="majorBidi" w:cstheme="majorBidi"/>
          <w:sz w:val="24"/>
          <w:szCs w:val="24"/>
        </w:rPr>
      </w:pPr>
    </w:p>
    <w:p w:rsidR="00FF4951" w:rsidRPr="004402E8" w:rsidRDefault="00F17DB3" w:rsidP="00FF4951">
      <w:pPr>
        <w:rPr>
          <w:rFonts w:asciiTheme="majorBidi" w:hAnsiTheme="majorBidi" w:cstheme="majorBidi"/>
          <w:sz w:val="24"/>
          <w:szCs w:val="24"/>
        </w:rPr>
      </w:pPr>
      <w:r>
        <w:rPr>
          <w:rFonts w:asciiTheme="majorBidi" w:hAnsiTheme="majorBidi" w:cstheme="majorBidi"/>
          <w:b/>
          <w:bCs/>
          <w:sz w:val="24"/>
          <w:szCs w:val="24"/>
        </w:rPr>
        <w:t>Watch:</w:t>
      </w:r>
      <w:r>
        <w:rPr>
          <w:rFonts w:asciiTheme="majorBidi" w:hAnsiTheme="majorBidi" w:cstheme="majorBidi"/>
          <w:b/>
          <w:bCs/>
          <w:sz w:val="24"/>
          <w:szCs w:val="24"/>
        </w:rPr>
        <w:t xml:space="preserve"> </w:t>
      </w:r>
      <w:r w:rsidR="00FF4951" w:rsidRPr="004402E8">
        <w:rPr>
          <w:rFonts w:asciiTheme="majorBidi" w:hAnsiTheme="majorBidi" w:cstheme="majorBidi"/>
          <w:sz w:val="24"/>
          <w:szCs w:val="24"/>
        </w:rPr>
        <w:t>Innovation Law Lab Videos</w:t>
      </w:r>
      <w:r w:rsidR="00FF4951">
        <w:rPr>
          <w:rFonts w:asciiTheme="majorBidi" w:hAnsiTheme="majorBidi" w:cstheme="majorBidi"/>
          <w:sz w:val="24"/>
          <w:szCs w:val="24"/>
        </w:rPr>
        <w:t xml:space="preserve">, </w:t>
      </w:r>
      <w:r w:rsidR="00FF4951" w:rsidRPr="004402E8">
        <w:rPr>
          <w:rFonts w:asciiTheme="majorBidi" w:hAnsiTheme="majorBidi" w:cstheme="majorBidi"/>
          <w:sz w:val="24"/>
          <w:szCs w:val="24"/>
        </w:rPr>
        <w:t>Detention Authority (17 mins)</w:t>
      </w:r>
      <w:r w:rsidR="00FF4951">
        <w:rPr>
          <w:rFonts w:asciiTheme="majorBidi" w:hAnsiTheme="majorBidi" w:cstheme="majorBidi"/>
          <w:sz w:val="24"/>
          <w:szCs w:val="24"/>
        </w:rPr>
        <w:t xml:space="preserve"> - </w:t>
      </w:r>
      <w:hyperlink r:id="rId5" w:tgtFrame="_blank" w:history="1">
        <w:r w:rsidR="00FF4951" w:rsidRPr="004402E8">
          <w:rPr>
            <w:rStyle w:val="Hyperlink"/>
            <w:rFonts w:asciiTheme="majorBidi" w:hAnsiTheme="majorBidi" w:cstheme="majorBidi"/>
            <w:sz w:val="24"/>
            <w:szCs w:val="24"/>
          </w:rPr>
          <w:t>https://vimeo.com/84047260</w:t>
        </w:r>
      </w:hyperlink>
    </w:p>
    <w:p w:rsidR="00FF4951" w:rsidRPr="004402E8" w:rsidRDefault="00FF4951" w:rsidP="00FF4951">
      <w:pPr>
        <w:rPr>
          <w:rFonts w:asciiTheme="majorBidi" w:hAnsiTheme="majorBidi" w:cstheme="majorBidi"/>
          <w:sz w:val="24"/>
          <w:szCs w:val="24"/>
        </w:rPr>
      </w:pPr>
      <w:r w:rsidRPr="004402E8">
        <w:rPr>
          <w:rFonts w:asciiTheme="majorBidi" w:hAnsiTheme="majorBidi" w:cstheme="majorBidi"/>
          <w:sz w:val="24"/>
          <w:szCs w:val="24"/>
        </w:rPr>
        <w:t> </w:t>
      </w:r>
    </w:p>
    <w:p w:rsidR="00FF4951" w:rsidRDefault="00F17DB3" w:rsidP="00FF4951">
      <w:pPr>
        <w:rPr>
          <w:rFonts w:asciiTheme="majorBidi" w:hAnsiTheme="majorBidi" w:cstheme="majorBidi"/>
          <w:sz w:val="24"/>
          <w:szCs w:val="24"/>
        </w:rPr>
      </w:pPr>
      <w:r>
        <w:rPr>
          <w:rFonts w:asciiTheme="majorBidi" w:hAnsiTheme="majorBidi" w:cstheme="majorBidi"/>
          <w:b/>
          <w:bCs/>
          <w:sz w:val="24"/>
          <w:szCs w:val="24"/>
        </w:rPr>
        <w:t>Watch:</w:t>
      </w:r>
      <w:r>
        <w:rPr>
          <w:rFonts w:asciiTheme="majorBidi" w:hAnsiTheme="majorBidi" w:cstheme="majorBidi"/>
          <w:b/>
          <w:bCs/>
          <w:sz w:val="24"/>
          <w:szCs w:val="24"/>
        </w:rPr>
        <w:t xml:space="preserve"> </w:t>
      </w:r>
      <w:r w:rsidR="00FF4951" w:rsidRPr="004402E8">
        <w:rPr>
          <w:rFonts w:asciiTheme="majorBidi" w:hAnsiTheme="majorBidi" w:cstheme="majorBidi"/>
          <w:sz w:val="24"/>
          <w:szCs w:val="24"/>
        </w:rPr>
        <w:t>Detention History (8 mins)</w:t>
      </w:r>
      <w:r w:rsidR="00FF4951">
        <w:rPr>
          <w:rFonts w:asciiTheme="majorBidi" w:hAnsiTheme="majorBidi" w:cstheme="majorBidi"/>
          <w:sz w:val="24"/>
          <w:szCs w:val="24"/>
        </w:rPr>
        <w:t xml:space="preserve"> - </w:t>
      </w:r>
      <w:hyperlink r:id="rId6" w:tgtFrame="_blank" w:history="1">
        <w:r w:rsidR="00FF4951" w:rsidRPr="004402E8">
          <w:rPr>
            <w:rStyle w:val="Hyperlink"/>
            <w:rFonts w:asciiTheme="majorBidi" w:hAnsiTheme="majorBidi" w:cstheme="majorBidi"/>
            <w:sz w:val="24"/>
            <w:szCs w:val="24"/>
          </w:rPr>
          <w:t>https://vimeo.com/88083771</w:t>
        </w:r>
      </w:hyperlink>
    </w:p>
    <w:p w:rsidR="00FF4951" w:rsidRDefault="00FF4951" w:rsidP="004402E8">
      <w:pPr>
        <w:rPr>
          <w:rFonts w:asciiTheme="majorBidi" w:hAnsiTheme="majorBidi" w:cstheme="majorBidi"/>
          <w:sz w:val="24"/>
          <w:szCs w:val="24"/>
        </w:rPr>
      </w:pPr>
    </w:p>
    <w:p w:rsidR="004402E8" w:rsidRDefault="00F17DB3" w:rsidP="004402E8">
      <w:pPr>
        <w:rPr>
          <w:rFonts w:asciiTheme="majorBidi" w:hAnsiTheme="majorBidi" w:cstheme="majorBidi"/>
          <w:sz w:val="24"/>
          <w:szCs w:val="24"/>
        </w:rPr>
      </w:pPr>
      <w:r>
        <w:rPr>
          <w:rFonts w:asciiTheme="majorBidi" w:hAnsiTheme="majorBidi" w:cstheme="majorBidi"/>
          <w:b/>
          <w:bCs/>
          <w:sz w:val="24"/>
          <w:szCs w:val="24"/>
        </w:rPr>
        <w:t>Watch:</w:t>
      </w:r>
      <w:r>
        <w:rPr>
          <w:rFonts w:asciiTheme="majorBidi" w:hAnsiTheme="majorBidi" w:cstheme="majorBidi"/>
          <w:b/>
          <w:bCs/>
          <w:sz w:val="24"/>
          <w:szCs w:val="24"/>
        </w:rPr>
        <w:t xml:space="preserve"> </w:t>
      </w:r>
      <w:r w:rsidR="004402E8" w:rsidRPr="004402E8">
        <w:rPr>
          <w:rFonts w:asciiTheme="majorBidi" w:hAnsiTheme="majorBidi" w:cstheme="majorBidi"/>
          <w:sz w:val="24"/>
          <w:szCs w:val="24"/>
        </w:rPr>
        <w:t>AILA Webinar</w:t>
      </w:r>
      <w:r w:rsidR="004402E8">
        <w:rPr>
          <w:rFonts w:asciiTheme="majorBidi" w:hAnsiTheme="majorBidi" w:cstheme="majorBidi"/>
          <w:sz w:val="24"/>
          <w:szCs w:val="24"/>
        </w:rPr>
        <w:t>s</w:t>
      </w:r>
    </w:p>
    <w:p w:rsidR="004402E8" w:rsidRDefault="004402E8" w:rsidP="004402E8">
      <w:pPr>
        <w:rPr>
          <w:rFonts w:asciiTheme="majorBidi" w:hAnsiTheme="majorBidi" w:cstheme="majorBidi"/>
          <w:sz w:val="24"/>
          <w:szCs w:val="24"/>
        </w:rPr>
      </w:pPr>
      <w:r>
        <w:rPr>
          <w:rFonts w:asciiTheme="majorBidi" w:hAnsiTheme="majorBidi" w:cstheme="majorBidi"/>
          <w:sz w:val="24"/>
          <w:szCs w:val="24"/>
        </w:rPr>
        <w:t xml:space="preserve">1: Habeas Nuts and Bolts - </w:t>
      </w:r>
      <w:hyperlink r:id="rId7" w:history="1">
        <w:r w:rsidRPr="007F554F">
          <w:rPr>
            <w:rStyle w:val="Hyperlink"/>
            <w:rFonts w:asciiTheme="majorBidi" w:hAnsiTheme="majorBidi" w:cstheme="majorBidi"/>
            <w:sz w:val="24"/>
            <w:szCs w:val="24"/>
          </w:rPr>
          <w:t>http://eventcenter.commpartners.com/se/Meetings/Playback_new.aspx?meeting.id=823630</w:t>
        </w:r>
      </w:hyperlink>
      <w:r>
        <w:rPr>
          <w:rFonts w:asciiTheme="majorBidi" w:hAnsiTheme="majorBidi" w:cstheme="majorBidi"/>
          <w:sz w:val="24"/>
          <w:szCs w:val="24"/>
        </w:rPr>
        <w:t xml:space="preserve"> </w:t>
      </w:r>
    </w:p>
    <w:p w:rsidR="004402E8" w:rsidRDefault="004402E8" w:rsidP="004402E8">
      <w:pPr>
        <w:rPr>
          <w:rFonts w:asciiTheme="majorBidi" w:hAnsiTheme="majorBidi" w:cstheme="majorBidi"/>
          <w:sz w:val="24"/>
          <w:szCs w:val="24"/>
        </w:rPr>
      </w:pPr>
      <w:r>
        <w:rPr>
          <w:rFonts w:asciiTheme="majorBidi" w:hAnsiTheme="majorBidi" w:cstheme="majorBidi"/>
          <w:sz w:val="24"/>
          <w:szCs w:val="24"/>
        </w:rPr>
        <w:t xml:space="preserve">2: Typical Legal and Procedural Issues in Habeas Litigation - </w:t>
      </w:r>
      <w:hyperlink r:id="rId8" w:history="1">
        <w:r w:rsidRPr="007F554F">
          <w:rPr>
            <w:rStyle w:val="Hyperlink"/>
            <w:rFonts w:asciiTheme="majorBidi" w:hAnsiTheme="majorBidi" w:cstheme="majorBidi"/>
            <w:sz w:val="24"/>
            <w:szCs w:val="24"/>
          </w:rPr>
          <w:t>http://eventcenter.commpartners.com/se/Meetings/Playback_new.aspx?meeting.id=840977</w:t>
        </w:r>
      </w:hyperlink>
    </w:p>
    <w:p w:rsidR="004402E8" w:rsidRDefault="004402E8" w:rsidP="004402E8">
      <w:pPr>
        <w:rPr>
          <w:rFonts w:asciiTheme="majorBidi" w:hAnsiTheme="majorBidi" w:cstheme="majorBidi"/>
          <w:sz w:val="24"/>
          <w:szCs w:val="24"/>
        </w:rPr>
      </w:pPr>
      <w:r>
        <w:rPr>
          <w:rFonts w:asciiTheme="majorBidi" w:hAnsiTheme="majorBidi" w:cstheme="majorBidi"/>
          <w:sz w:val="24"/>
          <w:szCs w:val="24"/>
        </w:rPr>
        <w:t xml:space="preserve">3: Prolonged Detention I - </w:t>
      </w:r>
      <w:hyperlink r:id="rId9" w:history="1">
        <w:r w:rsidRPr="007F554F">
          <w:rPr>
            <w:rStyle w:val="Hyperlink"/>
            <w:rFonts w:asciiTheme="majorBidi" w:hAnsiTheme="majorBidi" w:cstheme="majorBidi"/>
            <w:sz w:val="24"/>
            <w:szCs w:val="24"/>
          </w:rPr>
          <w:t>http://eventcenter.commpartners.com/se/Meetings/Playback_new.aspx?meeting.id=712114</w:t>
        </w:r>
      </w:hyperlink>
    </w:p>
    <w:p w:rsidR="004402E8" w:rsidRDefault="004402E8" w:rsidP="004402E8">
      <w:pPr>
        <w:rPr>
          <w:rFonts w:asciiTheme="majorBidi" w:hAnsiTheme="majorBidi" w:cstheme="majorBidi"/>
          <w:sz w:val="24"/>
          <w:szCs w:val="24"/>
        </w:rPr>
      </w:pPr>
      <w:r>
        <w:rPr>
          <w:rFonts w:asciiTheme="majorBidi" w:hAnsiTheme="majorBidi" w:cstheme="majorBidi"/>
          <w:sz w:val="24"/>
          <w:szCs w:val="24"/>
        </w:rPr>
        <w:t xml:space="preserve">4: Prolonged Detention II - </w:t>
      </w:r>
      <w:hyperlink r:id="rId10" w:history="1">
        <w:r w:rsidRPr="00FF4951">
          <w:rPr>
            <w:rStyle w:val="Hyperlink"/>
            <w:rFonts w:asciiTheme="majorBidi" w:hAnsiTheme="majorBidi" w:cstheme="majorBidi"/>
            <w:sz w:val="24"/>
            <w:szCs w:val="24"/>
          </w:rPr>
          <w:t>http://eventcenter.commpartners.com/se/Meetings/Playback_new.aspx?meeting.id=471169</w:t>
        </w:r>
      </w:hyperlink>
    </w:p>
    <w:p w:rsidR="004402E8" w:rsidRDefault="004402E8" w:rsidP="004402E8">
      <w:pPr>
        <w:rPr>
          <w:rFonts w:asciiTheme="majorBidi" w:hAnsiTheme="majorBidi" w:cstheme="majorBidi"/>
          <w:sz w:val="24"/>
          <w:szCs w:val="24"/>
        </w:rPr>
      </w:pPr>
      <w:r>
        <w:rPr>
          <w:rFonts w:asciiTheme="majorBidi" w:hAnsiTheme="majorBidi" w:cstheme="majorBidi"/>
          <w:sz w:val="24"/>
          <w:szCs w:val="24"/>
        </w:rPr>
        <w:t xml:space="preserve">5: Challenging Conditions of Release and Creative Uses of Habeas - </w:t>
      </w:r>
      <w:hyperlink r:id="rId11" w:history="1">
        <w:r w:rsidRPr="007F554F">
          <w:rPr>
            <w:rStyle w:val="Hyperlink"/>
            <w:rFonts w:asciiTheme="majorBidi" w:hAnsiTheme="majorBidi" w:cstheme="majorBidi"/>
            <w:sz w:val="24"/>
            <w:szCs w:val="24"/>
          </w:rPr>
          <w:t>http://eventcenter.commpartners.com/se/Meetings/Playback_new.aspx?meeting.id=807880</w:t>
        </w:r>
      </w:hyperlink>
    </w:p>
    <w:p w:rsidR="004402E8" w:rsidRPr="004402E8" w:rsidRDefault="004402E8" w:rsidP="004402E8">
      <w:pPr>
        <w:rPr>
          <w:rFonts w:asciiTheme="majorBidi" w:hAnsiTheme="majorBidi" w:cstheme="majorBidi"/>
          <w:sz w:val="24"/>
          <w:szCs w:val="24"/>
        </w:rPr>
      </w:pPr>
    </w:p>
    <w:p w:rsidR="004402E8" w:rsidRPr="004402E8" w:rsidRDefault="004402E8" w:rsidP="004402E8">
      <w:pPr>
        <w:rPr>
          <w:rFonts w:asciiTheme="majorBidi" w:hAnsiTheme="majorBidi" w:cstheme="majorBidi"/>
          <w:sz w:val="24"/>
          <w:szCs w:val="24"/>
        </w:rPr>
      </w:pPr>
      <w:r w:rsidRPr="004402E8">
        <w:rPr>
          <w:rFonts w:asciiTheme="majorBidi" w:hAnsiTheme="majorBidi" w:cstheme="majorBidi"/>
          <w:sz w:val="24"/>
          <w:szCs w:val="24"/>
        </w:rPr>
        <w:t xml:space="preserve">CLINIC Practitioner’s Guide: Obtaining Release </w:t>
      </w:r>
      <w:proofErr w:type="gramStart"/>
      <w:r w:rsidRPr="004402E8">
        <w:rPr>
          <w:rFonts w:asciiTheme="majorBidi" w:hAnsiTheme="majorBidi" w:cstheme="majorBidi"/>
          <w:sz w:val="24"/>
          <w:szCs w:val="24"/>
        </w:rPr>
        <w:t>From</w:t>
      </w:r>
      <w:proofErr w:type="gramEnd"/>
      <w:r w:rsidRPr="004402E8">
        <w:rPr>
          <w:rFonts w:asciiTheme="majorBidi" w:hAnsiTheme="majorBidi" w:cstheme="majorBidi"/>
          <w:sz w:val="24"/>
          <w:szCs w:val="24"/>
        </w:rPr>
        <w:t xml:space="preserve"> Immigration Detention, pp. 1 – 30</w:t>
      </w:r>
    </w:p>
    <w:p w:rsidR="004402E8" w:rsidRPr="004402E8" w:rsidRDefault="004402E8" w:rsidP="004402E8">
      <w:pPr>
        <w:rPr>
          <w:rFonts w:asciiTheme="majorBidi" w:hAnsiTheme="majorBidi" w:cstheme="majorBidi"/>
          <w:sz w:val="24"/>
          <w:szCs w:val="24"/>
        </w:rPr>
      </w:pPr>
      <w:hyperlink r:id="rId12" w:tgtFrame="_blank" w:history="1">
        <w:r w:rsidRPr="004402E8">
          <w:rPr>
            <w:rStyle w:val="Hyperlink"/>
            <w:rFonts w:asciiTheme="majorBidi" w:hAnsiTheme="majorBidi" w:cstheme="majorBidi"/>
            <w:sz w:val="24"/>
            <w:szCs w:val="24"/>
          </w:rPr>
          <w:t>https://cliniclegal.org/sites/default/files/A-Guide-to-Obtaining-Release-from-Immigration-Detention.pdf</w:t>
        </w:r>
      </w:hyperlink>
    </w:p>
    <w:p w:rsidR="00FF4951" w:rsidRDefault="00FF4951" w:rsidP="00FF4951">
      <w:pPr>
        <w:rPr>
          <w:rFonts w:asciiTheme="majorBidi" w:hAnsiTheme="majorBidi" w:cstheme="majorBidi"/>
          <w:sz w:val="24"/>
          <w:szCs w:val="24"/>
        </w:rPr>
      </w:pPr>
    </w:p>
    <w:p w:rsidR="004402E8" w:rsidRDefault="00FF4951" w:rsidP="00FF4951">
      <w:pPr>
        <w:rPr>
          <w:rFonts w:asciiTheme="majorBidi" w:hAnsiTheme="majorBidi" w:cstheme="majorBidi"/>
          <w:sz w:val="24"/>
          <w:szCs w:val="24"/>
        </w:rPr>
      </w:pPr>
      <w:r w:rsidRPr="004402E8">
        <w:rPr>
          <w:rFonts w:asciiTheme="majorBidi" w:hAnsiTheme="majorBidi" w:cstheme="majorBidi"/>
          <w:sz w:val="24"/>
          <w:szCs w:val="24"/>
        </w:rPr>
        <w:t>AIC Legal Action Center practice advisory “Introduction to Habeas Corpus”</w:t>
      </w:r>
      <w:r>
        <w:rPr>
          <w:rFonts w:asciiTheme="majorBidi" w:hAnsiTheme="majorBidi" w:cstheme="majorBidi"/>
          <w:sz w:val="24"/>
          <w:szCs w:val="24"/>
        </w:rPr>
        <w:t xml:space="preserve">, </w:t>
      </w:r>
      <w:hyperlink r:id="rId13" w:history="1">
        <w:r w:rsidRPr="007F554F">
          <w:rPr>
            <w:rStyle w:val="Hyperlink"/>
            <w:rFonts w:asciiTheme="majorBidi" w:hAnsiTheme="majorBidi" w:cstheme="majorBidi"/>
            <w:sz w:val="24"/>
            <w:szCs w:val="24"/>
          </w:rPr>
          <w:t>https://www.americanimmigrationcouncil.org/sites/default/files/practice_advisory/lac_pa_0406.pdf</w:t>
        </w:r>
      </w:hyperlink>
    </w:p>
    <w:p w:rsidR="00FF4951" w:rsidRPr="004402E8" w:rsidRDefault="00FF4951" w:rsidP="004402E8">
      <w:pPr>
        <w:rPr>
          <w:rFonts w:asciiTheme="majorBidi" w:hAnsiTheme="majorBidi" w:cstheme="majorBidi"/>
          <w:sz w:val="24"/>
          <w:szCs w:val="24"/>
        </w:rPr>
      </w:pPr>
    </w:p>
    <w:p w:rsidR="004402E8" w:rsidRDefault="004402E8" w:rsidP="004402E8">
      <w:pPr>
        <w:rPr>
          <w:rFonts w:asciiTheme="majorBidi" w:hAnsiTheme="majorBidi" w:cstheme="majorBidi"/>
          <w:sz w:val="24"/>
          <w:szCs w:val="24"/>
        </w:rPr>
      </w:pPr>
      <w:r w:rsidRPr="004402E8">
        <w:rPr>
          <w:rFonts w:asciiTheme="majorBidi" w:hAnsiTheme="majorBidi" w:cstheme="majorBidi"/>
          <w:sz w:val="24"/>
          <w:szCs w:val="24"/>
        </w:rPr>
        <w:t xml:space="preserve">Justice Breyer's dissent in </w:t>
      </w:r>
      <w:r w:rsidRPr="004402E8">
        <w:rPr>
          <w:rFonts w:asciiTheme="majorBidi" w:hAnsiTheme="majorBidi" w:cstheme="majorBidi"/>
          <w:i/>
          <w:iCs/>
          <w:sz w:val="24"/>
          <w:szCs w:val="24"/>
        </w:rPr>
        <w:t>Jennings v. Rodriguez</w:t>
      </w:r>
      <w:r w:rsidRPr="004402E8">
        <w:rPr>
          <w:rFonts w:asciiTheme="majorBidi" w:hAnsiTheme="majorBidi" w:cstheme="majorBidi"/>
          <w:sz w:val="24"/>
          <w:szCs w:val="24"/>
        </w:rPr>
        <w:t>,</w:t>
      </w:r>
      <w:r w:rsidR="00FF4951">
        <w:rPr>
          <w:rFonts w:asciiTheme="majorBidi" w:hAnsiTheme="majorBidi" w:cstheme="majorBidi"/>
          <w:sz w:val="24"/>
          <w:szCs w:val="24"/>
        </w:rPr>
        <w:t xml:space="preserve"> </w:t>
      </w:r>
      <w:r w:rsidR="00FF4951" w:rsidRPr="004402E8">
        <w:rPr>
          <w:rFonts w:asciiTheme="majorBidi" w:hAnsiTheme="majorBidi" w:cstheme="majorBidi"/>
          <w:sz w:val="24"/>
          <w:szCs w:val="24"/>
        </w:rPr>
        <w:t>138 S. Ct. 830, 859</w:t>
      </w:r>
      <w:r w:rsidRPr="004402E8">
        <w:rPr>
          <w:rFonts w:asciiTheme="majorBidi" w:hAnsiTheme="majorBidi" w:cstheme="majorBidi"/>
          <w:sz w:val="24"/>
          <w:szCs w:val="24"/>
        </w:rPr>
        <w:t xml:space="preserve"> (</w:t>
      </w:r>
      <w:r w:rsidR="007F554F">
        <w:rPr>
          <w:rFonts w:asciiTheme="majorBidi" w:hAnsiTheme="majorBidi" w:cstheme="majorBidi"/>
          <w:sz w:val="24"/>
          <w:szCs w:val="24"/>
        </w:rPr>
        <w:t xml:space="preserve">pp. </w:t>
      </w:r>
      <w:r w:rsidRPr="004402E8">
        <w:rPr>
          <w:rFonts w:asciiTheme="majorBidi" w:hAnsiTheme="majorBidi" w:cstheme="majorBidi"/>
          <w:sz w:val="24"/>
          <w:szCs w:val="24"/>
        </w:rPr>
        <w:t>49-61 of the pdf)</w:t>
      </w:r>
      <w:r>
        <w:rPr>
          <w:rFonts w:asciiTheme="majorBidi" w:hAnsiTheme="majorBidi" w:cstheme="majorBidi"/>
          <w:sz w:val="24"/>
          <w:szCs w:val="24"/>
        </w:rPr>
        <w:t xml:space="preserve">, </w:t>
      </w:r>
      <w:hyperlink r:id="rId14" w:history="1">
        <w:r w:rsidR="007F554F" w:rsidRPr="007F554F">
          <w:rPr>
            <w:rStyle w:val="Hyperlink"/>
            <w:rFonts w:asciiTheme="majorBidi" w:hAnsiTheme="majorBidi" w:cstheme="majorBidi"/>
            <w:sz w:val="24"/>
            <w:szCs w:val="24"/>
          </w:rPr>
          <w:t>https://www.supremecourt.gov/opinions/17pdf/15-1204_f29g.pdf</w:t>
        </w:r>
      </w:hyperlink>
    </w:p>
    <w:p w:rsidR="00FF4951" w:rsidRDefault="00FF4951" w:rsidP="004402E8">
      <w:pPr>
        <w:rPr>
          <w:rFonts w:asciiTheme="majorBidi" w:hAnsiTheme="majorBidi" w:cstheme="majorBidi"/>
          <w:sz w:val="24"/>
          <w:szCs w:val="24"/>
        </w:rPr>
      </w:pPr>
    </w:p>
    <w:p w:rsidR="00FF4951" w:rsidRDefault="00FF4951" w:rsidP="00F17DB3">
      <w:pPr>
        <w:jc w:val="center"/>
        <w:rPr>
          <w:rFonts w:asciiTheme="majorBidi" w:hAnsiTheme="majorBidi" w:cstheme="majorBidi"/>
          <w:sz w:val="24"/>
          <w:szCs w:val="24"/>
        </w:rPr>
      </w:pPr>
      <w:r>
        <w:rPr>
          <w:rFonts w:asciiTheme="majorBidi" w:hAnsiTheme="majorBidi" w:cstheme="majorBidi"/>
          <w:b/>
          <w:bCs/>
          <w:sz w:val="24"/>
          <w:szCs w:val="24"/>
        </w:rPr>
        <w:t xml:space="preserve">PROLONGED </w:t>
      </w:r>
      <w:r w:rsidR="007F554F">
        <w:rPr>
          <w:rFonts w:asciiTheme="majorBidi" w:hAnsiTheme="majorBidi" w:cstheme="majorBidi"/>
          <w:b/>
          <w:bCs/>
          <w:sz w:val="24"/>
          <w:szCs w:val="24"/>
        </w:rPr>
        <w:t xml:space="preserve">MANDATORY </w:t>
      </w:r>
      <w:r>
        <w:rPr>
          <w:rFonts w:asciiTheme="majorBidi" w:hAnsiTheme="majorBidi" w:cstheme="majorBidi"/>
          <w:b/>
          <w:bCs/>
          <w:sz w:val="24"/>
          <w:szCs w:val="24"/>
        </w:rPr>
        <w:t>DETENTION</w:t>
      </w:r>
    </w:p>
    <w:p w:rsidR="00FF4951" w:rsidRDefault="00FF4951" w:rsidP="004402E8">
      <w:pPr>
        <w:rPr>
          <w:rFonts w:asciiTheme="majorBidi" w:hAnsiTheme="majorBidi" w:cstheme="majorBidi"/>
          <w:sz w:val="24"/>
          <w:szCs w:val="24"/>
        </w:rPr>
      </w:pPr>
    </w:p>
    <w:p w:rsidR="002069D2" w:rsidRPr="00D70817" w:rsidRDefault="002069D2" w:rsidP="004402E8">
      <w:pPr>
        <w:rPr>
          <w:rFonts w:asciiTheme="majorBidi" w:hAnsiTheme="majorBidi" w:cstheme="majorBidi"/>
          <w:i/>
          <w:iCs/>
          <w:sz w:val="24"/>
          <w:szCs w:val="24"/>
        </w:rPr>
      </w:pPr>
      <w:r>
        <w:rPr>
          <w:rFonts w:asciiTheme="majorBidi" w:hAnsiTheme="majorBidi" w:cstheme="majorBidi"/>
          <w:i/>
          <w:iCs/>
          <w:sz w:val="24"/>
          <w:szCs w:val="24"/>
        </w:rPr>
        <w:t xml:space="preserve">One of the main active areas of habeas litigation currently is around prolonged detention under the “mandatory detention” statutes, INA § 235(b) [8 U.S.C. § 1225(b)] and INA § 236(c) [8 </w:t>
      </w:r>
      <w:r>
        <w:rPr>
          <w:rFonts w:asciiTheme="majorBidi" w:hAnsiTheme="majorBidi" w:cstheme="majorBidi"/>
          <w:i/>
          <w:iCs/>
          <w:sz w:val="24"/>
          <w:szCs w:val="24"/>
        </w:rPr>
        <w:lastRenderedPageBreak/>
        <w:t xml:space="preserve">U.S.C. § 1226(c)].  While </w:t>
      </w:r>
      <w:proofErr w:type="spellStart"/>
      <w:r>
        <w:rPr>
          <w:rFonts w:asciiTheme="majorBidi" w:hAnsiTheme="majorBidi" w:cstheme="majorBidi"/>
          <w:sz w:val="24"/>
          <w:szCs w:val="24"/>
        </w:rPr>
        <w:t>Demore</w:t>
      </w:r>
      <w:proofErr w:type="spellEnd"/>
      <w:r>
        <w:rPr>
          <w:rFonts w:asciiTheme="majorBidi" w:hAnsiTheme="majorBidi" w:cstheme="majorBidi"/>
          <w:i/>
          <w:iCs/>
          <w:sz w:val="24"/>
          <w:szCs w:val="24"/>
        </w:rPr>
        <w:t xml:space="preserve"> found pre-order mandatory detention of 6 months to be constitutional, the open question has been: what happens after 6 months?  Of note, government counsel told the Court in </w:t>
      </w:r>
      <w:proofErr w:type="spellStart"/>
      <w:r>
        <w:rPr>
          <w:rFonts w:asciiTheme="majorBidi" w:hAnsiTheme="majorBidi" w:cstheme="majorBidi"/>
          <w:sz w:val="24"/>
          <w:szCs w:val="24"/>
        </w:rPr>
        <w:t>Demore</w:t>
      </w:r>
      <w:proofErr w:type="spellEnd"/>
      <w:r>
        <w:rPr>
          <w:rFonts w:asciiTheme="majorBidi" w:hAnsiTheme="majorBidi" w:cstheme="majorBidi"/>
          <w:i/>
          <w:iCs/>
          <w:sz w:val="24"/>
          <w:szCs w:val="24"/>
        </w:rPr>
        <w:t xml:space="preserve"> that detention averaged 1 month without an appeal, and 5 months with an appeal, for detainees under § 236(c); but during briefing of </w:t>
      </w:r>
      <w:r>
        <w:rPr>
          <w:rFonts w:asciiTheme="majorBidi" w:hAnsiTheme="majorBidi" w:cstheme="majorBidi"/>
          <w:sz w:val="24"/>
          <w:szCs w:val="24"/>
        </w:rPr>
        <w:t>Jennings</w:t>
      </w:r>
      <w:r>
        <w:rPr>
          <w:rFonts w:asciiTheme="majorBidi" w:hAnsiTheme="majorBidi" w:cstheme="majorBidi"/>
          <w:i/>
          <w:iCs/>
          <w:sz w:val="24"/>
          <w:szCs w:val="24"/>
        </w:rPr>
        <w:t xml:space="preserve">, the government revealed that it provided incorrect information, and detention, even at the time of </w:t>
      </w:r>
      <w:proofErr w:type="spellStart"/>
      <w:r>
        <w:rPr>
          <w:rFonts w:asciiTheme="majorBidi" w:hAnsiTheme="majorBidi" w:cstheme="majorBidi"/>
          <w:sz w:val="24"/>
          <w:szCs w:val="24"/>
        </w:rPr>
        <w:t>Demore</w:t>
      </w:r>
      <w:proofErr w:type="spellEnd"/>
      <w:r>
        <w:rPr>
          <w:rFonts w:asciiTheme="majorBidi" w:hAnsiTheme="majorBidi" w:cstheme="majorBidi"/>
          <w:i/>
          <w:iCs/>
          <w:sz w:val="24"/>
          <w:szCs w:val="24"/>
        </w:rPr>
        <w:t xml:space="preserve">, regularly exceeded one year.  Now, it is increasingly common for mandatory detainees to have their case go up to the BIA twice or three times, and detention often </w:t>
      </w:r>
      <w:r w:rsidR="00D70817">
        <w:rPr>
          <w:rFonts w:asciiTheme="majorBidi" w:hAnsiTheme="majorBidi" w:cstheme="majorBidi"/>
          <w:i/>
          <w:iCs/>
          <w:sz w:val="24"/>
          <w:szCs w:val="24"/>
        </w:rPr>
        <w:t xml:space="preserve">approaches two years or longer.  The “Prolonged Detention Stories” site describes what this long detention means for noncitizens and their families—in other words, what we’re fighting for.  The ACLU Practice Advisory gives an update on what the </w:t>
      </w:r>
      <w:r w:rsidR="00D70817">
        <w:rPr>
          <w:rFonts w:asciiTheme="majorBidi" w:hAnsiTheme="majorBidi" w:cstheme="majorBidi"/>
          <w:sz w:val="24"/>
          <w:szCs w:val="24"/>
        </w:rPr>
        <w:t xml:space="preserve">Jennings </w:t>
      </w:r>
      <w:r w:rsidR="00D70817">
        <w:rPr>
          <w:rFonts w:asciiTheme="majorBidi" w:hAnsiTheme="majorBidi" w:cstheme="majorBidi"/>
          <w:i/>
          <w:iCs/>
          <w:sz w:val="24"/>
          <w:szCs w:val="24"/>
        </w:rPr>
        <w:t xml:space="preserve">decision means—though, as you’ll keep hearing—a lot has changed in the last 9 months since it was released.  </w:t>
      </w:r>
      <w:r w:rsidR="00D70817">
        <w:rPr>
          <w:rFonts w:asciiTheme="majorBidi" w:hAnsiTheme="majorBidi" w:cstheme="majorBidi"/>
          <w:sz w:val="24"/>
          <w:szCs w:val="24"/>
        </w:rPr>
        <w:t>Rodriguez v. Marin</w:t>
      </w:r>
      <w:r w:rsidR="00D70817">
        <w:rPr>
          <w:rFonts w:asciiTheme="majorBidi" w:hAnsiTheme="majorBidi" w:cstheme="majorBidi"/>
          <w:i/>
          <w:iCs/>
          <w:sz w:val="24"/>
          <w:szCs w:val="24"/>
        </w:rPr>
        <w:t xml:space="preserve"> is </w:t>
      </w:r>
      <w:r w:rsidR="00D70817">
        <w:rPr>
          <w:rFonts w:asciiTheme="majorBidi" w:hAnsiTheme="majorBidi" w:cstheme="majorBidi"/>
          <w:sz w:val="24"/>
          <w:szCs w:val="24"/>
        </w:rPr>
        <w:t>Jennings</w:t>
      </w:r>
      <w:r w:rsidR="00D70817">
        <w:rPr>
          <w:rFonts w:asciiTheme="majorBidi" w:hAnsiTheme="majorBidi" w:cstheme="majorBidi"/>
          <w:i/>
          <w:iCs/>
          <w:sz w:val="24"/>
          <w:szCs w:val="24"/>
        </w:rPr>
        <w:t xml:space="preserve"> on remand to the Ninth, which remanded to the District Court, and provides some hints as to where the Circuit Court and District Court will go from here.  </w:t>
      </w:r>
      <w:r w:rsidR="00D70817">
        <w:rPr>
          <w:rFonts w:asciiTheme="majorBidi" w:hAnsiTheme="majorBidi" w:cstheme="majorBidi"/>
          <w:sz w:val="24"/>
          <w:szCs w:val="24"/>
        </w:rPr>
        <w:t>Muse</w:t>
      </w:r>
      <w:r w:rsidR="00D70817">
        <w:rPr>
          <w:rFonts w:asciiTheme="majorBidi" w:hAnsiTheme="majorBidi" w:cstheme="majorBidi"/>
          <w:i/>
          <w:iCs/>
          <w:sz w:val="24"/>
          <w:szCs w:val="24"/>
        </w:rPr>
        <w:t xml:space="preserve"> is a recent local case finding prolonged § 236(c) detention unconstitutional, as is </w:t>
      </w:r>
      <w:r w:rsidR="00D70817">
        <w:rPr>
          <w:rFonts w:asciiTheme="majorBidi" w:hAnsiTheme="majorBidi" w:cstheme="majorBidi"/>
          <w:sz w:val="24"/>
          <w:szCs w:val="24"/>
        </w:rPr>
        <w:t>Mohamed</w:t>
      </w:r>
      <w:r w:rsidR="00D70817">
        <w:rPr>
          <w:rFonts w:asciiTheme="majorBidi" w:hAnsiTheme="majorBidi" w:cstheme="majorBidi"/>
          <w:i/>
          <w:iCs/>
          <w:sz w:val="24"/>
          <w:szCs w:val="24"/>
        </w:rPr>
        <w:t xml:space="preserve">.  Both provide more background on how noncitizens end up in detention so long, and discuss issues related to the constitutionality of detention when the noncitizen wins in immigration court and ICE appeals.  Litigation in </w:t>
      </w:r>
      <w:r w:rsidR="00D70817">
        <w:rPr>
          <w:rFonts w:asciiTheme="majorBidi" w:hAnsiTheme="majorBidi" w:cstheme="majorBidi"/>
          <w:sz w:val="24"/>
          <w:szCs w:val="24"/>
        </w:rPr>
        <w:t>Muse</w:t>
      </w:r>
      <w:r w:rsidR="00D70817">
        <w:rPr>
          <w:rFonts w:asciiTheme="majorBidi" w:hAnsiTheme="majorBidi" w:cstheme="majorBidi"/>
          <w:i/>
          <w:iCs/>
          <w:sz w:val="24"/>
          <w:szCs w:val="24"/>
        </w:rPr>
        <w:t xml:space="preserve"> is </w:t>
      </w:r>
      <w:proofErr w:type="gramStart"/>
      <w:r w:rsidR="00D70817">
        <w:rPr>
          <w:rFonts w:asciiTheme="majorBidi" w:hAnsiTheme="majorBidi" w:cstheme="majorBidi"/>
          <w:i/>
          <w:iCs/>
          <w:sz w:val="24"/>
          <w:szCs w:val="24"/>
        </w:rPr>
        <w:t>still continuing</w:t>
      </w:r>
      <w:proofErr w:type="gramEnd"/>
      <w:r w:rsidR="00D70817">
        <w:rPr>
          <w:rFonts w:asciiTheme="majorBidi" w:hAnsiTheme="majorBidi" w:cstheme="majorBidi"/>
          <w:i/>
          <w:iCs/>
          <w:sz w:val="24"/>
          <w:szCs w:val="24"/>
        </w:rPr>
        <w:t xml:space="preserve">, as he was denied bond by the immigration judge following the District Court’s Order, and through attorney fee litigation.  </w:t>
      </w:r>
    </w:p>
    <w:p w:rsidR="002069D2" w:rsidRDefault="002069D2" w:rsidP="004402E8">
      <w:pPr>
        <w:rPr>
          <w:rFonts w:asciiTheme="majorBidi" w:hAnsiTheme="majorBidi" w:cstheme="majorBidi"/>
          <w:sz w:val="24"/>
          <w:szCs w:val="24"/>
        </w:rPr>
      </w:pPr>
    </w:p>
    <w:p w:rsidR="00FF4951" w:rsidRPr="004402E8" w:rsidRDefault="00FF4951" w:rsidP="00FF4951">
      <w:pPr>
        <w:rPr>
          <w:rFonts w:asciiTheme="majorBidi" w:hAnsiTheme="majorBidi" w:cstheme="majorBidi"/>
          <w:sz w:val="24"/>
          <w:szCs w:val="24"/>
        </w:rPr>
      </w:pPr>
      <w:r>
        <w:rPr>
          <w:rFonts w:asciiTheme="majorBidi" w:hAnsiTheme="majorBidi" w:cstheme="majorBidi"/>
          <w:b/>
          <w:bCs/>
          <w:sz w:val="24"/>
          <w:szCs w:val="24"/>
        </w:rPr>
        <w:t>Browse</w:t>
      </w:r>
      <w:r>
        <w:rPr>
          <w:rFonts w:asciiTheme="majorBidi" w:hAnsiTheme="majorBidi" w:cstheme="majorBidi"/>
          <w:b/>
          <w:bCs/>
          <w:sz w:val="24"/>
          <w:szCs w:val="24"/>
        </w:rPr>
        <w:t xml:space="preserve">: </w:t>
      </w:r>
      <w:r w:rsidRPr="004402E8">
        <w:rPr>
          <w:rFonts w:asciiTheme="majorBidi" w:hAnsiTheme="majorBidi" w:cstheme="majorBidi"/>
          <w:sz w:val="24"/>
          <w:szCs w:val="24"/>
        </w:rPr>
        <w:t>Interactive stories brief by amicus curiae in Jennings v. Rodriguez</w:t>
      </w:r>
    </w:p>
    <w:p w:rsidR="00FF4951" w:rsidRDefault="00FF4951" w:rsidP="00FF4951">
      <w:pPr>
        <w:rPr>
          <w:rFonts w:asciiTheme="majorBidi" w:hAnsiTheme="majorBidi" w:cstheme="majorBidi"/>
          <w:sz w:val="24"/>
          <w:szCs w:val="24"/>
        </w:rPr>
      </w:pPr>
      <w:hyperlink r:id="rId15" w:tgtFrame="_blank" w:history="1">
        <w:r w:rsidRPr="004402E8">
          <w:rPr>
            <w:rStyle w:val="Hyperlink"/>
            <w:rFonts w:asciiTheme="majorBidi" w:hAnsiTheme="majorBidi" w:cstheme="majorBidi"/>
            <w:sz w:val="24"/>
            <w:szCs w:val="24"/>
          </w:rPr>
          <w:t>https://www.prolongeddetentionstories.org/</w:t>
        </w:r>
      </w:hyperlink>
    </w:p>
    <w:p w:rsidR="00FF4951" w:rsidRDefault="00FF4951" w:rsidP="00FF4951">
      <w:pPr>
        <w:rPr>
          <w:rFonts w:asciiTheme="majorBidi" w:hAnsiTheme="majorBidi" w:cstheme="majorBidi"/>
          <w:sz w:val="24"/>
          <w:szCs w:val="24"/>
        </w:rPr>
      </w:pPr>
    </w:p>
    <w:p w:rsidR="00FF4951" w:rsidRPr="004402E8" w:rsidRDefault="00FF4951" w:rsidP="007F554F">
      <w:pPr>
        <w:rPr>
          <w:rFonts w:asciiTheme="majorBidi" w:hAnsiTheme="majorBidi" w:cstheme="majorBidi"/>
          <w:sz w:val="24"/>
          <w:szCs w:val="24"/>
        </w:rPr>
      </w:pPr>
      <w:r>
        <w:rPr>
          <w:rFonts w:asciiTheme="majorBidi" w:hAnsiTheme="majorBidi" w:cstheme="majorBidi"/>
          <w:sz w:val="24"/>
          <w:szCs w:val="24"/>
        </w:rPr>
        <w:t xml:space="preserve">ACLU Jennings Practice Advisory - </w:t>
      </w:r>
      <w:hyperlink r:id="rId16" w:history="1">
        <w:r w:rsidRPr="004402E8">
          <w:rPr>
            <w:rStyle w:val="Hyperlink"/>
            <w:rFonts w:asciiTheme="majorBidi" w:hAnsiTheme="majorBidi" w:cstheme="majorBidi"/>
            <w:sz w:val="24"/>
            <w:szCs w:val="24"/>
          </w:rPr>
          <w:t>https://www.aclu.org/sites/default/files/field_document/2018_03_21_jennings_v_rodriguez_practice_advisory.pdf</w:t>
        </w:r>
      </w:hyperlink>
    </w:p>
    <w:p w:rsidR="00FF4951" w:rsidRDefault="00FF4951" w:rsidP="00FF4951">
      <w:pPr>
        <w:rPr>
          <w:rFonts w:asciiTheme="majorBidi" w:hAnsiTheme="majorBidi" w:cstheme="majorBidi"/>
          <w:sz w:val="24"/>
          <w:szCs w:val="24"/>
        </w:rPr>
      </w:pPr>
    </w:p>
    <w:p w:rsidR="00347AF3" w:rsidRPr="00347AF3" w:rsidRDefault="00347AF3" w:rsidP="00FF4951">
      <w:pPr>
        <w:rPr>
          <w:rFonts w:asciiTheme="majorBidi" w:hAnsiTheme="majorBidi" w:cstheme="majorBidi"/>
          <w:sz w:val="24"/>
          <w:szCs w:val="24"/>
          <w:lang w:val="es-NI"/>
        </w:rPr>
      </w:pPr>
      <w:proofErr w:type="spellStart"/>
      <w:r w:rsidRPr="00347AF3">
        <w:rPr>
          <w:rFonts w:asciiTheme="majorBidi" w:hAnsiTheme="majorBidi" w:cstheme="majorBidi"/>
          <w:i/>
          <w:iCs/>
          <w:sz w:val="24"/>
          <w:szCs w:val="24"/>
          <w:lang w:val="es-NI"/>
        </w:rPr>
        <w:t>Rodriguez</w:t>
      </w:r>
      <w:proofErr w:type="spellEnd"/>
      <w:r w:rsidRPr="00347AF3">
        <w:rPr>
          <w:rFonts w:asciiTheme="majorBidi" w:hAnsiTheme="majorBidi" w:cstheme="majorBidi"/>
          <w:i/>
          <w:iCs/>
          <w:sz w:val="24"/>
          <w:szCs w:val="24"/>
          <w:lang w:val="es-NI"/>
        </w:rPr>
        <w:t xml:space="preserve"> v. </w:t>
      </w:r>
      <w:proofErr w:type="spellStart"/>
      <w:r w:rsidRPr="00347AF3">
        <w:rPr>
          <w:rFonts w:asciiTheme="majorBidi" w:hAnsiTheme="majorBidi" w:cstheme="majorBidi"/>
          <w:i/>
          <w:iCs/>
          <w:sz w:val="24"/>
          <w:szCs w:val="24"/>
          <w:lang w:val="es-NI"/>
        </w:rPr>
        <w:t>Marin</w:t>
      </w:r>
      <w:proofErr w:type="spellEnd"/>
      <w:r w:rsidRPr="00347AF3">
        <w:rPr>
          <w:rFonts w:asciiTheme="majorBidi" w:hAnsiTheme="majorBidi" w:cstheme="majorBidi"/>
          <w:sz w:val="24"/>
          <w:szCs w:val="24"/>
          <w:lang w:val="es-NI"/>
        </w:rPr>
        <w:t>, 909 F.3d</w:t>
      </w:r>
      <w:r>
        <w:rPr>
          <w:rFonts w:asciiTheme="majorBidi" w:hAnsiTheme="majorBidi" w:cstheme="majorBidi"/>
          <w:sz w:val="24"/>
          <w:szCs w:val="24"/>
          <w:lang w:val="es-NI"/>
        </w:rPr>
        <w:t xml:space="preserve"> 252 (9th Cir. 2018)</w:t>
      </w:r>
    </w:p>
    <w:p w:rsidR="00347AF3" w:rsidRPr="00347AF3" w:rsidRDefault="00347AF3" w:rsidP="00FF4951">
      <w:pPr>
        <w:rPr>
          <w:rFonts w:asciiTheme="majorBidi" w:hAnsiTheme="majorBidi" w:cstheme="majorBidi"/>
          <w:sz w:val="24"/>
          <w:szCs w:val="24"/>
          <w:lang w:val="es-NI"/>
        </w:rPr>
      </w:pPr>
    </w:p>
    <w:p w:rsidR="00FF4951" w:rsidRDefault="00FF4951" w:rsidP="00FF4951">
      <w:pPr>
        <w:rPr>
          <w:rFonts w:asciiTheme="majorBidi" w:hAnsiTheme="majorBidi" w:cstheme="majorBidi"/>
          <w:sz w:val="24"/>
          <w:szCs w:val="24"/>
        </w:rPr>
      </w:pPr>
      <w:r>
        <w:rPr>
          <w:rFonts w:asciiTheme="majorBidi" w:hAnsiTheme="majorBidi" w:cstheme="majorBidi"/>
          <w:i/>
          <w:iCs/>
          <w:sz w:val="24"/>
          <w:szCs w:val="24"/>
        </w:rPr>
        <w:t>Muse v. Sessions</w:t>
      </w:r>
      <w:r>
        <w:rPr>
          <w:rFonts w:asciiTheme="majorBidi" w:hAnsiTheme="majorBidi" w:cstheme="majorBidi"/>
          <w:sz w:val="24"/>
          <w:szCs w:val="24"/>
        </w:rPr>
        <w:t>, No. 18-cv-54, 2018 WL 4466052 (D. Minn. Sept. 18, 2018)</w:t>
      </w:r>
    </w:p>
    <w:p w:rsidR="00FF4951" w:rsidRDefault="00FF4951" w:rsidP="00FF4951">
      <w:pPr>
        <w:rPr>
          <w:rFonts w:asciiTheme="majorBidi" w:hAnsiTheme="majorBidi" w:cstheme="majorBidi"/>
          <w:sz w:val="24"/>
          <w:szCs w:val="24"/>
        </w:rPr>
      </w:pPr>
    </w:p>
    <w:p w:rsidR="007F554F" w:rsidRDefault="00FF4951" w:rsidP="007F554F">
      <w:pPr>
        <w:rPr>
          <w:rFonts w:asciiTheme="majorBidi" w:hAnsiTheme="majorBidi" w:cstheme="majorBidi"/>
          <w:sz w:val="24"/>
          <w:szCs w:val="24"/>
        </w:rPr>
      </w:pPr>
      <w:r>
        <w:rPr>
          <w:rFonts w:asciiTheme="majorBidi" w:hAnsiTheme="majorBidi" w:cstheme="majorBidi"/>
          <w:i/>
          <w:iCs/>
          <w:sz w:val="24"/>
          <w:szCs w:val="24"/>
        </w:rPr>
        <w:t>Mohamed v. Sessions</w:t>
      </w:r>
      <w:r w:rsidR="00347AF3">
        <w:rPr>
          <w:rFonts w:asciiTheme="majorBidi" w:hAnsiTheme="majorBidi" w:cstheme="majorBidi"/>
          <w:sz w:val="24"/>
          <w:szCs w:val="24"/>
        </w:rPr>
        <w:t>, No. 17-cv-5055, 2018 WL 2392205 (D. Minn. Mar. 26, 2018)</w:t>
      </w:r>
    </w:p>
    <w:p w:rsidR="00FF4951" w:rsidRPr="007F554F" w:rsidRDefault="004402E8" w:rsidP="007F554F">
      <w:pPr>
        <w:rPr>
          <w:rFonts w:asciiTheme="majorBidi" w:hAnsiTheme="majorBidi" w:cstheme="majorBidi"/>
          <w:sz w:val="24"/>
          <w:szCs w:val="24"/>
        </w:rPr>
      </w:pPr>
      <w:r w:rsidRPr="007F554F">
        <w:rPr>
          <w:rFonts w:asciiTheme="majorBidi" w:hAnsiTheme="majorBidi" w:cstheme="majorBidi"/>
          <w:sz w:val="24"/>
          <w:szCs w:val="24"/>
        </w:rPr>
        <w:t> </w:t>
      </w:r>
    </w:p>
    <w:p w:rsidR="00347AF3" w:rsidRPr="00347AF3" w:rsidRDefault="007F554F" w:rsidP="00CE1012">
      <w:pPr>
        <w:jc w:val="center"/>
        <w:rPr>
          <w:rFonts w:asciiTheme="majorBidi" w:hAnsiTheme="majorBidi" w:cstheme="majorBidi"/>
          <w:sz w:val="24"/>
          <w:szCs w:val="24"/>
        </w:rPr>
      </w:pPr>
      <w:r>
        <w:rPr>
          <w:rFonts w:asciiTheme="majorBidi" w:hAnsiTheme="majorBidi" w:cstheme="majorBidi"/>
          <w:b/>
          <w:bCs/>
          <w:sz w:val="24"/>
          <w:szCs w:val="24"/>
        </w:rPr>
        <w:t>PREAP: WHO IS SUBJECT TO MANDATORY DETENTION?</w:t>
      </w:r>
    </w:p>
    <w:p w:rsidR="00F17DB3" w:rsidRDefault="00F17DB3" w:rsidP="004402E8">
      <w:pPr>
        <w:rPr>
          <w:rFonts w:asciiTheme="majorBidi" w:hAnsiTheme="majorBidi" w:cstheme="majorBidi"/>
          <w:sz w:val="24"/>
          <w:szCs w:val="24"/>
        </w:rPr>
      </w:pPr>
    </w:p>
    <w:p w:rsidR="00D70817" w:rsidRPr="00D70817" w:rsidRDefault="00D70817" w:rsidP="004402E8">
      <w:pPr>
        <w:rPr>
          <w:rFonts w:asciiTheme="majorBidi" w:hAnsiTheme="majorBidi" w:cstheme="majorBidi"/>
          <w:i/>
          <w:iCs/>
          <w:sz w:val="24"/>
          <w:szCs w:val="24"/>
        </w:rPr>
      </w:pPr>
      <w:proofErr w:type="spellStart"/>
      <w:r>
        <w:rPr>
          <w:rFonts w:asciiTheme="majorBidi" w:hAnsiTheme="majorBidi" w:cstheme="majorBidi"/>
          <w:sz w:val="24"/>
          <w:szCs w:val="24"/>
        </w:rPr>
        <w:t>Preap</w:t>
      </w:r>
      <w:proofErr w:type="spellEnd"/>
      <w:r>
        <w:rPr>
          <w:rFonts w:asciiTheme="majorBidi" w:hAnsiTheme="majorBidi" w:cstheme="majorBidi"/>
          <w:i/>
          <w:iCs/>
          <w:sz w:val="24"/>
          <w:szCs w:val="24"/>
        </w:rPr>
        <w:t xml:space="preserve"> presents an interesting challenge to mandatory detention, which the Supreme Court may rule on any day.  It essentially turns on the meaning of one single word in § 236(c): “when.”  Advocates, the BIA, and the Ninth Circuit have fought over what “when” means—more specifically, the case involves how promptly ICE must take a noncitizen into custody after being released from criminal custody.  The BIA has held that “when released” means “anytime after,” so that ICE can take someone into custody decades after completing a criminal sentence, while the Ninth held that “when” connotes immediacy.  </w:t>
      </w:r>
      <w:r w:rsidR="007D4676">
        <w:rPr>
          <w:rFonts w:asciiTheme="majorBidi" w:hAnsiTheme="majorBidi" w:cstheme="majorBidi"/>
          <w:i/>
          <w:iCs/>
          <w:sz w:val="24"/>
          <w:szCs w:val="24"/>
        </w:rPr>
        <w:t xml:space="preserve">A favorable decision from the Supreme Court would mean a significant number of noncitizens would become eligible for bond and would rein in ICE’s detention authority.  The ACLU provides a good overview of the case, and NIJC’s amicus brief outlines the issues.  Finally, the oral argument is worth a listen—it was Kavanaugh’s first case as a Justice, and it is interesting to see how he, Gorsuch, and the other </w:t>
      </w:r>
      <w:r w:rsidR="007D4676">
        <w:rPr>
          <w:rFonts w:asciiTheme="majorBidi" w:hAnsiTheme="majorBidi" w:cstheme="majorBidi"/>
          <w:i/>
          <w:iCs/>
          <w:sz w:val="24"/>
          <w:szCs w:val="24"/>
        </w:rPr>
        <w:lastRenderedPageBreak/>
        <w:t>Justices staked out their positions through questions, and how ACLU counsel and the government respond.</w:t>
      </w:r>
    </w:p>
    <w:p w:rsidR="00D70817" w:rsidRDefault="00D70817" w:rsidP="004402E8">
      <w:pPr>
        <w:rPr>
          <w:rFonts w:asciiTheme="majorBidi" w:hAnsiTheme="majorBidi" w:cstheme="majorBidi"/>
          <w:sz w:val="24"/>
          <w:szCs w:val="24"/>
        </w:rPr>
      </w:pPr>
    </w:p>
    <w:p w:rsidR="004402E8" w:rsidRDefault="00F17DB3" w:rsidP="004402E8">
      <w:pPr>
        <w:rPr>
          <w:rFonts w:asciiTheme="majorBidi" w:hAnsiTheme="majorBidi" w:cstheme="majorBidi"/>
          <w:sz w:val="24"/>
          <w:szCs w:val="24"/>
        </w:rPr>
      </w:pPr>
      <w:r>
        <w:rPr>
          <w:rFonts w:asciiTheme="majorBidi" w:hAnsiTheme="majorBidi" w:cstheme="majorBidi"/>
          <w:b/>
          <w:bCs/>
          <w:sz w:val="24"/>
          <w:szCs w:val="24"/>
        </w:rPr>
        <w:t xml:space="preserve">Browse: </w:t>
      </w:r>
      <w:r>
        <w:rPr>
          <w:rFonts w:asciiTheme="majorBidi" w:hAnsiTheme="majorBidi" w:cstheme="majorBidi"/>
          <w:sz w:val="24"/>
          <w:szCs w:val="24"/>
        </w:rPr>
        <w:t xml:space="preserve">ACLU </w:t>
      </w:r>
      <w:proofErr w:type="spellStart"/>
      <w:r>
        <w:rPr>
          <w:rFonts w:asciiTheme="majorBidi" w:hAnsiTheme="majorBidi" w:cstheme="majorBidi"/>
          <w:sz w:val="24"/>
          <w:szCs w:val="24"/>
        </w:rPr>
        <w:t>Preap</w:t>
      </w:r>
      <w:proofErr w:type="spellEnd"/>
      <w:r>
        <w:rPr>
          <w:rFonts w:asciiTheme="majorBidi" w:hAnsiTheme="majorBidi" w:cstheme="majorBidi"/>
          <w:sz w:val="24"/>
          <w:szCs w:val="24"/>
        </w:rPr>
        <w:t xml:space="preserve"> Case Page: </w:t>
      </w:r>
      <w:hyperlink r:id="rId17" w:history="1">
        <w:r w:rsidRPr="00F17DB3">
          <w:rPr>
            <w:rStyle w:val="Hyperlink"/>
            <w:rFonts w:asciiTheme="majorBidi" w:hAnsiTheme="majorBidi" w:cstheme="majorBidi"/>
            <w:sz w:val="24"/>
            <w:szCs w:val="24"/>
          </w:rPr>
          <w:t>https://www.aclu.org/cases/nielsen-v-preap</w:t>
        </w:r>
      </w:hyperlink>
      <w:r w:rsidR="004402E8" w:rsidRPr="004402E8">
        <w:rPr>
          <w:rFonts w:asciiTheme="majorBidi" w:hAnsiTheme="majorBidi" w:cstheme="majorBidi"/>
          <w:sz w:val="24"/>
          <w:szCs w:val="24"/>
        </w:rPr>
        <w:t> </w:t>
      </w:r>
    </w:p>
    <w:p w:rsidR="00F17DB3" w:rsidRPr="004402E8" w:rsidRDefault="00F17DB3" w:rsidP="004402E8">
      <w:pPr>
        <w:rPr>
          <w:rFonts w:asciiTheme="majorBidi" w:hAnsiTheme="majorBidi" w:cstheme="majorBidi"/>
          <w:sz w:val="24"/>
          <w:szCs w:val="24"/>
        </w:rPr>
      </w:pPr>
    </w:p>
    <w:p w:rsidR="004402E8" w:rsidRDefault="004402E8" w:rsidP="004402E8">
      <w:pPr>
        <w:rPr>
          <w:rFonts w:asciiTheme="majorBidi" w:hAnsiTheme="majorBidi" w:cstheme="majorBidi"/>
          <w:sz w:val="24"/>
          <w:szCs w:val="24"/>
        </w:rPr>
      </w:pPr>
      <w:proofErr w:type="spellStart"/>
      <w:r w:rsidRPr="004402E8">
        <w:rPr>
          <w:rFonts w:asciiTheme="majorBidi" w:hAnsiTheme="majorBidi" w:cstheme="majorBidi"/>
          <w:i/>
          <w:iCs/>
          <w:sz w:val="24"/>
          <w:szCs w:val="24"/>
        </w:rPr>
        <w:t>Preap</w:t>
      </w:r>
      <w:proofErr w:type="spellEnd"/>
      <w:r w:rsidRPr="004402E8">
        <w:rPr>
          <w:rFonts w:asciiTheme="majorBidi" w:hAnsiTheme="majorBidi" w:cstheme="majorBidi"/>
          <w:i/>
          <w:iCs/>
          <w:sz w:val="24"/>
          <w:szCs w:val="24"/>
        </w:rPr>
        <w:t xml:space="preserve"> v. Johnson</w:t>
      </w:r>
      <w:r w:rsidRPr="004402E8">
        <w:rPr>
          <w:rFonts w:asciiTheme="majorBidi" w:hAnsiTheme="majorBidi" w:cstheme="majorBidi"/>
          <w:sz w:val="24"/>
          <w:szCs w:val="24"/>
        </w:rPr>
        <w:t>, 831 F.3d 1193 (9</w:t>
      </w:r>
      <w:r w:rsidRPr="004402E8">
        <w:rPr>
          <w:rFonts w:asciiTheme="majorBidi" w:hAnsiTheme="majorBidi" w:cstheme="majorBidi"/>
          <w:sz w:val="24"/>
          <w:szCs w:val="24"/>
          <w:vertAlign w:val="superscript"/>
        </w:rPr>
        <w:t>th</w:t>
      </w:r>
      <w:r w:rsidRPr="004402E8">
        <w:rPr>
          <w:rFonts w:asciiTheme="majorBidi" w:hAnsiTheme="majorBidi" w:cstheme="majorBidi"/>
          <w:sz w:val="24"/>
          <w:szCs w:val="24"/>
        </w:rPr>
        <w:t xml:space="preserve"> Cir. 2016)</w:t>
      </w:r>
    </w:p>
    <w:p w:rsidR="00347AF3" w:rsidRPr="004402E8" w:rsidRDefault="00347AF3" w:rsidP="004402E8">
      <w:pPr>
        <w:rPr>
          <w:rFonts w:asciiTheme="majorBidi" w:hAnsiTheme="majorBidi" w:cstheme="majorBidi"/>
          <w:sz w:val="24"/>
          <w:szCs w:val="24"/>
        </w:rPr>
      </w:pPr>
    </w:p>
    <w:p w:rsidR="004402E8" w:rsidRDefault="00347AF3" w:rsidP="004402E8">
      <w:pPr>
        <w:rPr>
          <w:rFonts w:asciiTheme="majorBidi" w:hAnsiTheme="majorBidi" w:cstheme="majorBidi"/>
          <w:sz w:val="24"/>
          <w:szCs w:val="24"/>
        </w:rPr>
      </w:pPr>
      <w:r>
        <w:rPr>
          <w:rFonts w:asciiTheme="majorBidi" w:hAnsiTheme="majorBidi" w:cstheme="majorBidi"/>
          <w:sz w:val="24"/>
          <w:szCs w:val="24"/>
        </w:rPr>
        <w:t xml:space="preserve">National Immigrant Justice Center’s amicus brief: </w:t>
      </w:r>
      <w:hyperlink r:id="rId18" w:history="1">
        <w:r w:rsidRPr="007F554F">
          <w:rPr>
            <w:rStyle w:val="Hyperlink"/>
            <w:rFonts w:asciiTheme="majorBidi" w:hAnsiTheme="majorBidi" w:cstheme="majorBidi"/>
            <w:sz w:val="24"/>
            <w:szCs w:val="24"/>
          </w:rPr>
          <w:t>https://www.supremecourt.gov/DocketPDF/16/16-1363/59187/20180810170121240_16-1363bsacNationalImmigrantJusticeCenter.pdf%208-10-18.pdf</w:t>
        </w:r>
      </w:hyperlink>
    </w:p>
    <w:p w:rsidR="00347AF3" w:rsidRDefault="00347AF3" w:rsidP="004402E8">
      <w:pPr>
        <w:rPr>
          <w:rFonts w:asciiTheme="majorBidi" w:hAnsiTheme="majorBidi" w:cstheme="majorBidi"/>
          <w:sz w:val="24"/>
          <w:szCs w:val="24"/>
        </w:rPr>
      </w:pPr>
    </w:p>
    <w:p w:rsidR="00347AF3" w:rsidRPr="004402E8" w:rsidRDefault="00347AF3" w:rsidP="004402E8">
      <w:pPr>
        <w:rPr>
          <w:rFonts w:asciiTheme="majorBidi" w:hAnsiTheme="majorBidi" w:cstheme="majorBidi"/>
          <w:sz w:val="24"/>
          <w:szCs w:val="24"/>
        </w:rPr>
      </w:pPr>
      <w:r>
        <w:rPr>
          <w:rFonts w:asciiTheme="majorBidi" w:hAnsiTheme="majorBidi" w:cstheme="majorBidi"/>
          <w:sz w:val="24"/>
          <w:szCs w:val="24"/>
        </w:rPr>
        <w:t xml:space="preserve">Oral Argument: </w:t>
      </w:r>
      <w:hyperlink r:id="rId19" w:history="1">
        <w:r w:rsidRPr="007F554F">
          <w:rPr>
            <w:rStyle w:val="Hyperlink"/>
            <w:rFonts w:asciiTheme="majorBidi" w:hAnsiTheme="majorBidi" w:cstheme="majorBidi"/>
            <w:sz w:val="24"/>
            <w:szCs w:val="24"/>
          </w:rPr>
          <w:t>https://www.oyez.org/cases/2018/16-1363</w:t>
        </w:r>
      </w:hyperlink>
    </w:p>
    <w:p w:rsidR="004402E8" w:rsidRPr="004402E8" w:rsidRDefault="004402E8" w:rsidP="004402E8">
      <w:pPr>
        <w:rPr>
          <w:rFonts w:asciiTheme="majorBidi" w:hAnsiTheme="majorBidi" w:cstheme="majorBidi"/>
          <w:sz w:val="24"/>
          <w:szCs w:val="24"/>
        </w:rPr>
      </w:pPr>
      <w:r w:rsidRPr="004402E8">
        <w:rPr>
          <w:rFonts w:asciiTheme="majorBidi" w:hAnsiTheme="majorBidi" w:cstheme="majorBidi"/>
          <w:sz w:val="24"/>
          <w:szCs w:val="24"/>
        </w:rPr>
        <w:t> </w:t>
      </w:r>
    </w:p>
    <w:p w:rsidR="004402E8" w:rsidRDefault="007F554F" w:rsidP="00CE1012">
      <w:pPr>
        <w:jc w:val="center"/>
        <w:rPr>
          <w:rFonts w:asciiTheme="majorBidi" w:hAnsiTheme="majorBidi" w:cstheme="majorBidi"/>
          <w:b/>
          <w:bCs/>
          <w:sz w:val="24"/>
          <w:szCs w:val="24"/>
        </w:rPr>
      </w:pPr>
      <w:r>
        <w:rPr>
          <w:rFonts w:asciiTheme="majorBidi" w:hAnsiTheme="majorBidi" w:cstheme="majorBidi"/>
          <w:b/>
          <w:bCs/>
          <w:sz w:val="24"/>
          <w:szCs w:val="24"/>
        </w:rPr>
        <w:t>DANGEROUSNESS, RESOLVING CRIMINAL CHARGES, ABILITY TO PAY BOND</w:t>
      </w:r>
    </w:p>
    <w:p w:rsidR="00347AF3" w:rsidRDefault="00347AF3" w:rsidP="004402E8">
      <w:pPr>
        <w:rPr>
          <w:rFonts w:asciiTheme="majorBidi" w:hAnsiTheme="majorBidi" w:cstheme="majorBidi"/>
          <w:b/>
          <w:bCs/>
          <w:sz w:val="24"/>
          <w:szCs w:val="24"/>
        </w:rPr>
      </w:pPr>
    </w:p>
    <w:p w:rsidR="007D4676" w:rsidRPr="007D4676" w:rsidRDefault="007D4676" w:rsidP="004402E8">
      <w:pPr>
        <w:rPr>
          <w:rFonts w:asciiTheme="majorBidi" w:hAnsiTheme="majorBidi" w:cstheme="majorBidi"/>
          <w:i/>
          <w:iCs/>
          <w:sz w:val="24"/>
          <w:szCs w:val="24"/>
        </w:rPr>
      </w:pPr>
      <w:r>
        <w:rPr>
          <w:rFonts w:asciiTheme="majorBidi" w:hAnsiTheme="majorBidi" w:cstheme="majorBidi"/>
          <w:i/>
          <w:iCs/>
          <w:sz w:val="24"/>
          <w:szCs w:val="24"/>
        </w:rPr>
        <w:t>Finally, we have the catch-all for new terrain in habeas litigation.  First up is a case that was argued by a FILC student director this spring,</w:t>
      </w:r>
      <w:r>
        <w:rPr>
          <w:rFonts w:asciiTheme="majorBidi" w:hAnsiTheme="majorBidi" w:cstheme="majorBidi"/>
          <w:sz w:val="24"/>
          <w:szCs w:val="24"/>
        </w:rPr>
        <w:t xml:space="preserve"> Zacarias </w:t>
      </w:r>
      <w:proofErr w:type="spellStart"/>
      <w:r>
        <w:rPr>
          <w:rFonts w:asciiTheme="majorBidi" w:hAnsiTheme="majorBidi" w:cstheme="majorBidi"/>
          <w:sz w:val="24"/>
          <w:szCs w:val="24"/>
        </w:rPr>
        <w:t>Matacua</w:t>
      </w:r>
      <w:proofErr w:type="spellEnd"/>
      <w:r>
        <w:rPr>
          <w:rFonts w:asciiTheme="majorBidi" w:hAnsiTheme="majorBidi" w:cstheme="majorBidi"/>
          <w:i/>
          <w:iCs/>
          <w:sz w:val="24"/>
          <w:szCs w:val="24"/>
        </w:rPr>
        <w:t xml:space="preserve">, involving the allocation of burden of proof in bond hearings and how the court determines whether a noncitizen is a “danger to the community.”  Second, </w:t>
      </w:r>
      <w:proofErr w:type="spellStart"/>
      <w:r>
        <w:rPr>
          <w:rFonts w:asciiTheme="majorBidi" w:hAnsiTheme="majorBidi" w:cstheme="majorBidi"/>
          <w:sz w:val="24"/>
          <w:szCs w:val="24"/>
        </w:rPr>
        <w:t>Pensamiento</w:t>
      </w:r>
      <w:proofErr w:type="spellEnd"/>
      <w:r>
        <w:rPr>
          <w:rFonts w:asciiTheme="majorBidi" w:hAnsiTheme="majorBidi" w:cstheme="majorBidi"/>
          <w:i/>
          <w:iCs/>
          <w:sz w:val="24"/>
          <w:szCs w:val="24"/>
        </w:rPr>
        <w:t>, is a case challenging ICE’s practice of picking up noncitizens as they are released from criminal court on bond or on their own recognizance, while criminal proceedings are still pending.  This often means that noncitizens cannot prove they are not a danger in immigration court because of the pending charge</w:t>
      </w:r>
      <w:r w:rsidR="00731BEC">
        <w:rPr>
          <w:rFonts w:asciiTheme="majorBidi" w:hAnsiTheme="majorBidi" w:cstheme="majorBidi"/>
          <w:i/>
          <w:iCs/>
          <w:sz w:val="24"/>
          <w:szCs w:val="24"/>
        </w:rPr>
        <w:t xml:space="preserve">, even though they are frequently released from criminal court without bail; but ICE holds them in immigration custody and won’t allow them to attend criminal court dates, worsening their situation as they have warrants issued—and ICE doesn’t comply with state court writs ordering ICE to produce them in court.  Last, </w:t>
      </w:r>
      <w:r w:rsidR="00731BEC">
        <w:rPr>
          <w:rFonts w:asciiTheme="majorBidi" w:hAnsiTheme="majorBidi" w:cstheme="majorBidi"/>
          <w:sz w:val="24"/>
          <w:szCs w:val="24"/>
        </w:rPr>
        <w:t>Hernandez</w:t>
      </w:r>
      <w:r w:rsidR="00731BEC">
        <w:rPr>
          <w:rFonts w:asciiTheme="majorBidi" w:hAnsiTheme="majorBidi" w:cstheme="majorBidi"/>
          <w:i/>
          <w:iCs/>
          <w:sz w:val="24"/>
          <w:szCs w:val="24"/>
        </w:rPr>
        <w:t>, is a case out of the Ninth Circuit finding that immigration judges must consider the noncitizen’s ability to pay in setting bond amounts—bond amounts should not be arbitrary and should be calculated to make sure the noncitizen returns to court without being unduly burdensome or excessive.</w:t>
      </w:r>
      <w:bookmarkStart w:id="0" w:name="_GoBack"/>
      <w:bookmarkEnd w:id="0"/>
      <w:r w:rsidR="00731BEC">
        <w:rPr>
          <w:rFonts w:asciiTheme="majorBidi" w:hAnsiTheme="majorBidi" w:cstheme="majorBidi"/>
          <w:i/>
          <w:iCs/>
          <w:sz w:val="24"/>
          <w:szCs w:val="24"/>
        </w:rPr>
        <w:t xml:space="preserve"> </w:t>
      </w:r>
    </w:p>
    <w:p w:rsidR="007D4676" w:rsidRPr="00347AF3" w:rsidRDefault="007D4676" w:rsidP="004402E8">
      <w:pPr>
        <w:rPr>
          <w:rFonts w:asciiTheme="majorBidi" w:hAnsiTheme="majorBidi" w:cstheme="majorBidi"/>
          <w:b/>
          <w:bCs/>
          <w:sz w:val="24"/>
          <w:szCs w:val="24"/>
        </w:rPr>
      </w:pPr>
    </w:p>
    <w:p w:rsidR="00347AF3" w:rsidRPr="00347AF3" w:rsidRDefault="004402E8" w:rsidP="00347AF3">
      <w:pPr>
        <w:rPr>
          <w:rFonts w:asciiTheme="majorBidi" w:hAnsiTheme="majorBidi" w:cstheme="majorBidi"/>
          <w:sz w:val="24"/>
          <w:szCs w:val="24"/>
          <w:lang w:val="es-NI"/>
        </w:rPr>
      </w:pPr>
      <w:r w:rsidRPr="00347AF3">
        <w:rPr>
          <w:rFonts w:asciiTheme="majorBidi" w:hAnsiTheme="majorBidi" w:cstheme="majorBidi"/>
          <w:i/>
          <w:iCs/>
          <w:sz w:val="24"/>
          <w:szCs w:val="24"/>
          <w:lang w:val="es-NI"/>
        </w:rPr>
        <w:t xml:space="preserve">Zacarias </w:t>
      </w:r>
      <w:proofErr w:type="spellStart"/>
      <w:r w:rsidRPr="00347AF3">
        <w:rPr>
          <w:rFonts w:asciiTheme="majorBidi" w:hAnsiTheme="majorBidi" w:cstheme="majorBidi"/>
          <w:i/>
          <w:iCs/>
          <w:sz w:val="24"/>
          <w:szCs w:val="24"/>
          <w:lang w:val="es-NI"/>
        </w:rPr>
        <w:t>Matacua</w:t>
      </w:r>
      <w:proofErr w:type="spellEnd"/>
      <w:r w:rsidRPr="00347AF3">
        <w:rPr>
          <w:rFonts w:asciiTheme="majorBidi" w:hAnsiTheme="majorBidi" w:cstheme="majorBidi"/>
          <w:i/>
          <w:iCs/>
          <w:sz w:val="24"/>
          <w:szCs w:val="24"/>
          <w:lang w:val="es-NI"/>
        </w:rPr>
        <w:t xml:space="preserve"> v. Frank</w:t>
      </w:r>
      <w:r w:rsidRPr="00347AF3">
        <w:rPr>
          <w:rFonts w:asciiTheme="majorBidi" w:hAnsiTheme="majorBidi" w:cstheme="majorBidi"/>
          <w:sz w:val="24"/>
          <w:szCs w:val="24"/>
          <w:lang w:val="es-NI"/>
        </w:rPr>
        <w:t xml:space="preserve">, 308 F. </w:t>
      </w:r>
      <w:proofErr w:type="spellStart"/>
      <w:r w:rsidRPr="00347AF3">
        <w:rPr>
          <w:rFonts w:asciiTheme="majorBidi" w:hAnsiTheme="majorBidi" w:cstheme="majorBidi"/>
          <w:sz w:val="24"/>
          <w:szCs w:val="24"/>
          <w:lang w:val="es-NI"/>
        </w:rPr>
        <w:t>Supp</w:t>
      </w:r>
      <w:proofErr w:type="spellEnd"/>
      <w:r w:rsidRPr="00347AF3">
        <w:rPr>
          <w:rFonts w:asciiTheme="majorBidi" w:hAnsiTheme="majorBidi" w:cstheme="majorBidi"/>
          <w:sz w:val="24"/>
          <w:szCs w:val="24"/>
          <w:lang w:val="es-NI"/>
        </w:rPr>
        <w:t xml:space="preserve">. 3d 1019 (D. </w:t>
      </w:r>
      <w:proofErr w:type="spellStart"/>
      <w:r w:rsidRPr="00347AF3">
        <w:rPr>
          <w:rFonts w:asciiTheme="majorBidi" w:hAnsiTheme="majorBidi" w:cstheme="majorBidi"/>
          <w:sz w:val="24"/>
          <w:szCs w:val="24"/>
          <w:lang w:val="es-NI"/>
        </w:rPr>
        <w:t>Minn</w:t>
      </w:r>
      <w:proofErr w:type="spellEnd"/>
      <w:r w:rsidRPr="00347AF3">
        <w:rPr>
          <w:rFonts w:asciiTheme="majorBidi" w:hAnsiTheme="majorBidi" w:cstheme="majorBidi"/>
          <w:sz w:val="24"/>
          <w:szCs w:val="24"/>
          <w:lang w:val="es-NI"/>
        </w:rPr>
        <w:t xml:space="preserve">. 2018) </w:t>
      </w:r>
    </w:p>
    <w:p w:rsidR="00347AF3" w:rsidRDefault="00347AF3" w:rsidP="00347AF3">
      <w:pPr>
        <w:rPr>
          <w:rFonts w:asciiTheme="majorBidi" w:hAnsiTheme="majorBidi" w:cstheme="majorBidi"/>
          <w:i/>
          <w:iCs/>
          <w:sz w:val="24"/>
          <w:szCs w:val="24"/>
          <w:lang w:val="es-NI"/>
        </w:rPr>
      </w:pPr>
    </w:p>
    <w:p w:rsidR="00347AF3" w:rsidRDefault="00F17DB3" w:rsidP="00347AF3">
      <w:pPr>
        <w:rPr>
          <w:rFonts w:asciiTheme="majorBidi" w:hAnsiTheme="majorBidi" w:cstheme="majorBidi"/>
          <w:sz w:val="24"/>
          <w:szCs w:val="24"/>
          <w:lang w:val="es-NI"/>
        </w:rPr>
      </w:pPr>
      <w:proofErr w:type="spellStart"/>
      <w:r>
        <w:rPr>
          <w:rFonts w:asciiTheme="majorBidi" w:hAnsiTheme="majorBidi" w:cstheme="majorBidi"/>
          <w:b/>
          <w:bCs/>
          <w:sz w:val="24"/>
          <w:szCs w:val="24"/>
          <w:lang w:val="es-NI"/>
        </w:rPr>
        <w:t>Browse</w:t>
      </w:r>
      <w:proofErr w:type="spellEnd"/>
      <w:r>
        <w:rPr>
          <w:rFonts w:asciiTheme="majorBidi" w:hAnsiTheme="majorBidi" w:cstheme="majorBidi"/>
          <w:b/>
          <w:bCs/>
          <w:sz w:val="24"/>
          <w:szCs w:val="24"/>
          <w:lang w:val="es-NI"/>
        </w:rPr>
        <w:t xml:space="preserve">: </w:t>
      </w:r>
      <w:r w:rsidR="00347AF3">
        <w:rPr>
          <w:rFonts w:asciiTheme="majorBidi" w:hAnsiTheme="majorBidi" w:cstheme="majorBidi"/>
          <w:sz w:val="24"/>
          <w:szCs w:val="24"/>
          <w:lang w:val="es-NI"/>
        </w:rPr>
        <w:t xml:space="preserve">ACLU Pensamiento Case Page: </w:t>
      </w:r>
      <w:hyperlink r:id="rId20" w:history="1">
        <w:r w:rsidR="00347AF3" w:rsidRPr="007F554F">
          <w:rPr>
            <w:rStyle w:val="Hyperlink"/>
            <w:rFonts w:asciiTheme="majorBidi" w:hAnsiTheme="majorBidi" w:cstheme="majorBidi"/>
            <w:sz w:val="24"/>
            <w:szCs w:val="24"/>
            <w:lang w:val="es-NI"/>
          </w:rPr>
          <w:t>https://www.aclum.org/en/cases/pensamiento-v-mcdonald</w:t>
        </w:r>
      </w:hyperlink>
    </w:p>
    <w:p w:rsidR="00347AF3" w:rsidRPr="00347AF3" w:rsidRDefault="00347AF3" w:rsidP="00347AF3">
      <w:pPr>
        <w:rPr>
          <w:rFonts w:asciiTheme="majorBidi" w:hAnsiTheme="majorBidi" w:cstheme="majorBidi"/>
          <w:sz w:val="24"/>
          <w:szCs w:val="24"/>
          <w:lang w:val="es-NI"/>
        </w:rPr>
      </w:pPr>
    </w:p>
    <w:p w:rsidR="00347AF3" w:rsidRPr="004402E8" w:rsidRDefault="00347AF3" w:rsidP="00347AF3">
      <w:pPr>
        <w:rPr>
          <w:rFonts w:asciiTheme="majorBidi" w:hAnsiTheme="majorBidi" w:cstheme="majorBidi"/>
          <w:sz w:val="24"/>
          <w:szCs w:val="24"/>
        </w:rPr>
      </w:pPr>
      <w:proofErr w:type="spellStart"/>
      <w:r w:rsidRPr="004402E8">
        <w:rPr>
          <w:rFonts w:asciiTheme="majorBidi" w:hAnsiTheme="majorBidi" w:cstheme="majorBidi"/>
          <w:i/>
          <w:iCs/>
          <w:sz w:val="24"/>
          <w:szCs w:val="24"/>
        </w:rPr>
        <w:t>Pensamiento</w:t>
      </w:r>
      <w:proofErr w:type="spellEnd"/>
      <w:r w:rsidRPr="004402E8">
        <w:rPr>
          <w:rFonts w:asciiTheme="majorBidi" w:hAnsiTheme="majorBidi" w:cstheme="majorBidi"/>
          <w:i/>
          <w:iCs/>
          <w:sz w:val="24"/>
          <w:szCs w:val="24"/>
        </w:rPr>
        <w:t xml:space="preserve"> v. McDonald</w:t>
      </w:r>
      <w:r w:rsidRPr="004402E8">
        <w:rPr>
          <w:rFonts w:asciiTheme="majorBidi" w:hAnsiTheme="majorBidi" w:cstheme="majorBidi"/>
          <w:sz w:val="24"/>
          <w:szCs w:val="24"/>
        </w:rPr>
        <w:t>,</w:t>
      </w:r>
      <w:r>
        <w:rPr>
          <w:rFonts w:asciiTheme="majorBidi" w:hAnsiTheme="majorBidi" w:cstheme="majorBidi"/>
          <w:sz w:val="24"/>
          <w:szCs w:val="24"/>
        </w:rPr>
        <w:t xml:space="preserve"> </w:t>
      </w:r>
      <w:r w:rsidRPr="004402E8">
        <w:rPr>
          <w:rFonts w:asciiTheme="majorBidi" w:hAnsiTheme="majorBidi" w:cstheme="majorBidi"/>
          <w:sz w:val="24"/>
          <w:szCs w:val="24"/>
        </w:rPr>
        <w:t xml:space="preserve">No. 18-10475-PBS, 2018 US </w:t>
      </w:r>
      <w:proofErr w:type="spellStart"/>
      <w:r w:rsidRPr="004402E8">
        <w:rPr>
          <w:rFonts w:asciiTheme="majorBidi" w:hAnsiTheme="majorBidi" w:cstheme="majorBidi"/>
          <w:sz w:val="24"/>
          <w:szCs w:val="24"/>
        </w:rPr>
        <w:t>Dist</w:t>
      </w:r>
      <w:proofErr w:type="spellEnd"/>
      <w:r w:rsidRPr="004402E8">
        <w:rPr>
          <w:rFonts w:asciiTheme="majorBidi" w:hAnsiTheme="majorBidi" w:cstheme="majorBidi"/>
          <w:sz w:val="24"/>
          <w:szCs w:val="24"/>
        </w:rPr>
        <w:t xml:space="preserve"> LEXIS 84818, 2018 WL 2305667 (D. Mass. May 21, 2018)</w:t>
      </w:r>
    </w:p>
    <w:p w:rsidR="00347AF3" w:rsidRDefault="00347AF3" w:rsidP="00347AF3">
      <w:pPr>
        <w:rPr>
          <w:rFonts w:asciiTheme="majorBidi" w:hAnsiTheme="majorBidi" w:cstheme="majorBidi"/>
          <w:i/>
          <w:iCs/>
          <w:sz w:val="24"/>
          <w:szCs w:val="24"/>
        </w:rPr>
      </w:pPr>
    </w:p>
    <w:p w:rsidR="00F17DB3" w:rsidRPr="00F17DB3" w:rsidRDefault="00F17DB3" w:rsidP="00347AF3">
      <w:pPr>
        <w:rPr>
          <w:rFonts w:asciiTheme="majorBidi" w:hAnsiTheme="majorBidi" w:cstheme="majorBidi"/>
          <w:sz w:val="24"/>
          <w:szCs w:val="24"/>
        </w:rPr>
      </w:pPr>
      <w:r>
        <w:rPr>
          <w:rFonts w:asciiTheme="majorBidi" w:hAnsiTheme="majorBidi" w:cstheme="majorBidi"/>
          <w:b/>
          <w:bCs/>
          <w:sz w:val="24"/>
          <w:szCs w:val="24"/>
        </w:rPr>
        <w:t xml:space="preserve">Browse: </w:t>
      </w:r>
      <w:r>
        <w:rPr>
          <w:rFonts w:asciiTheme="majorBidi" w:hAnsiTheme="majorBidi" w:cstheme="majorBidi"/>
          <w:sz w:val="24"/>
          <w:szCs w:val="24"/>
        </w:rPr>
        <w:t xml:space="preserve">ACLU Hernandez Case Page: </w:t>
      </w:r>
      <w:hyperlink r:id="rId21" w:history="1">
        <w:r w:rsidRPr="00F17DB3">
          <w:rPr>
            <w:rStyle w:val="Hyperlink"/>
            <w:rFonts w:asciiTheme="majorBidi" w:hAnsiTheme="majorBidi" w:cstheme="majorBidi"/>
            <w:sz w:val="24"/>
            <w:szCs w:val="24"/>
          </w:rPr>
          <w:t>https://www.aclu.org/cases/hernandez-v-sessions</w:t>
        </w:r>
      </w:hyperlink>
    </w:p>
    <w:p w:rsidR="00F17DB3" w:rsidRPr="00347AF3" w:rsidRDefault="00F17DB3" w:rsidP="00347AF3">
      <w:pPr>
        <w:rPr>
          <w:rFonts w:asciiTheme="majorBidi" w:hAnsiTheme="majorBidi" w:cstheme="majorBidi"/>
          <w:i/>
          <w:iCs/>
          <w:sz w:val="24"/>
          <w:szCs w:val="24"/>
        </w:rPr>
      </w:pPr>
    </w:p>
    <w:p w:rsidR="004402E8" w:rsidRPr="004402E8" w:rsidRDefault="004402E8" w:rsidP="004402E8">
      <w:pPr>
        <w:rPr>
          <w:rFonts w:asciiTheme="majorBidi" w:hAnsiTheme="majorBidi" w:cstheme="majorBidi"/>
          <w:sz w:val="24"/>
          <w:szCs w:val="24"/>
        </w:rPr>
      </w:pPr>
      <w:r w:rsidRPr="004402E8">
        <w:rPr>
          <w:rFonts w:asciiTheme="majorBidi" w:hAnsiTheme="majorBidi" w:cstheme="majorBidi"/>
          <w:i/>
          <w:iCs/>
          <w:sz w:val="24"/>
          <w:szCs w:val="24"/>
        </w:rPr>
        <w:t>Hernandez v. Sessions</w:t>
      </w:r>
      <w:r w:rsidRPr="004402E8">
        <w:rPr>
          <w:rFonts w:asciiTheme="majorBidi" w:hAnsiTheme="majorBidi" w:cstheme="majorBidi"/>
          <w:sz w:val="24"/>
          <w:szCs w:val="24"/>
        </w:rPr>
        <w:t>, 872 F.3d 976 (9</w:t>
      </w:r>
      <w:r w:rsidRPr="004402E8">
        <w:rPr>
          <w:rFonts w:asciiTheme="majorBidi" w:hAnsiTheme="majorBidi" w:cstheme="majorBidi"/>
          <w:sz w:val="24"/>
          <w:szCs w:val="24"/>
          <w:vertAlign w:val="superscript"/>
        </w:rPr>
        <w:t>th</w:t>
      </w:r>
      <w:r w:rsidRPr="004402E8">
        <w:rPr>
          <w:rFonts w:asciiTheme="majorBidi" w:hAnsiTheme="majorBidi" w:cstheme="majorBidi"/>
          <w:sz w:val="24"/>
          <w:szCs w:val="24"/>
        </w:rPr>
        <w:t xml:space="preserve"> Cir. 2017) </w:t>
      </w:r>
    </w:p>
    <w:p w:rsidR="008B50AB" w:rsidRPr="004402E8" w:rsidRDefault="008B50AB" w:rsidP="004402E8">
      <w:pPr>
        <w:rPr>
          <w:rFonts w:asciiTheme="majorBidi" w:hAnsiTheme="majorBidi" w:cstheme="majorBidi"/>
          <w:sz w:val="24"/>
          <w:szCs w:val="24"/>
        </w:rPr>
      </w:pPr>
    </w:p>
    <w:sectPr w:rsidR="008B50AB" w:rsidRPr="00440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E24F3"/>
    <w:multiLevelType w:val="hybridMultilevel"/>
    <w:tmpl w:val="C7F8275C"/>
    <w:lvl w:ilvl="0" w:tplc="F0DE26F6">
      <w:start w:val="1"/>
      <w:numFmt w:val="upperRoman"/>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F2048D"/>
    <w:multiLevelType w:val="hybridMultilevel"/>
    <w:tmpl w:val="780C031A"/>
    <w:lvl w:ilvl="0" w:tplc="A00EE132">
      <w:start w:val="1"/>
      <w:numFmt w:val="upperLetter"/>
      <w:pStyle w:val="Heading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9F40617"/>
    <w:multiLevelType w:val="multilevel"/>
    <w:tmpl w:val="A2EE11F8"/>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F872614"/>
    <w:multiLevelType w:val="hybridMultilevel"/>
    <w:tmpl w:val="1B70D6DC"/>
    <w:lvl w:ilvl="0" w:tplc="1196180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E8"/>
    <w:rsid w:val="00001DCF"/>
    <w:rsid w:val="00017466"/>
    <w:rsid w:val="0012162E"/>
    <w:rsid w:val="002069D2"/>
    <w:rsid w:val="00347AF3"/>
    <w:rsid w:val="004402E8"/>
    <w:rsid w:val="00731BEC"/>
    <w:rsid w:val="007D4676"/>
    <w:rsid w:val="007F554F"/>
    <w:rsid w:val="008B50AB"/>
    <w:rsid w:val="00925ECB"/>
    <w:rsid w:val="00956AAE"/>
    <w:rsid w:val="00B13067"/>
    <w:rsid w:val="00CE1012"/>
    <w:rsid w:val="00D70817"/>
    <w:rsid w:val="00EB164F"/>
    <w:rsid w:val="00ED386D"/>
    <w:rsid w:val="00F17DB3"/>
    <w:rsid w:val="00FF49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2BB6"/>
  <w15:chartTrackingRefBased/>
  <w15:docId w15:val="{F8A834C8-8C3D-4570-B7C3-7364D04F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02E8"/>
    <w:pPr>
      <w:spacing w:after="0" w:line="240" w:lineRule="auto"/>
    </w:pPr>
    <w:rPr>
      <w:rFonts w:ascii="Calibri" w:hAnsi="Calibri" w:cs="Calibri"/>
    </w:rPr>
  </w:style>
  <w:style w:type="paragraph" w:styleId="Heading1">
    <w:name w:val="heading 1"/>
    <w:basedOn w:val="Normal"/>
    <w:next w:val="Normal"/>
    <w:link w:val="Heading1Char"/>
    <w:autoRedefine/>
    <w:uiPriority w:val="9"/>
    <w:qFormat/>
    <w:rsid w:val="008B50AB"/>
    <w:pPr>
      <w:keepNext/>
      <w:keepLines/>
      <w:numPr>
        <w:numId w:val="2"/>
      </w:numPr>
      <w:spacing w:after="240"/>
      <w:ind w:left="720" w:hanging="720"/>
      <w:outlineLvl w:val="0"/>
    </w:pPr>
    <w:rPr>
      <w:rFonts w:ascii="Times New Roman" w:eastAsiaTheme="majorEastAsia" w:hAnsi="Times New Roman" w:cstheme="majorBidi"/>
      <w:b/>
      <w:caps/>
      <w:sz w:val="24"/>
      <w:szCs w:val="32"/>
    </w:rPr>
  </w:style>
  <w:style w:type="paragraph" w:styleId="Heading2">
    <w:name w:val="heading 2"/>
    <w:basedOn w:val="Normal"/>
    <w:next w:val="Normal"/>
    <w:link w:val="Heading2Char"/>
    <w:autoRedefine/>
    <w:uiPriority w:val="9"/>
    <w:unhideWhenUsed/>
    <w:qFormat/>
    <w:rsid w:val="008B50AB"/>
    <w:pPr>
      <w:keepNext/>
      <w:keepLines/>
      <w:numPr>
        <w:numId w:val="4"/>
      </w:numPr>
      <w:spacing w:after="240"/>
      <w:ind w:left="144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autoRedefine/>
    <w:uiPriority w:val="9"/>
    <w:semiHidden/>
    <w:unhideWhenUsed/>
    <w:qFormat/>
    <w:rsid w:val="008B50AB"/>
    <w:pPr>
      <w:keepNext/>
      <w:keepLines/>
      <w:tabs>
        <w:tab w:val="num" w:pos="720"/>
      </w:tabs>
      <w:spacing w:after="240"/>
      <w:ind w:left="1440" w:hanging="360"/>
      <w:outlineLvl w:val="2"/>
    </w:pPr>
    <w:rPr>
      <w:rFonts w:ascii="Times New Roman" w:eastAsiaTheme="majorEastAsia" w:hAnsi="Times New Roman" w:cstheme="majorBid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956AAE"/>
    <w:rPr>
      <w:rFonts w:ascii="Times New Roman" w:hAnsi="Times New Roman" w:cstheme="minorBidi"/>
      <w:sz w:val="24"/>
      <w:szCs w:val="20"/>
    </w:rPr>
  </w:style>
  <w:style w:type="character" w:customStyle="1" w:styleId="FootnoteTextChar">
    <w:name w:val="Footnote Text Char"/>
    <w:basedOn w:val="DefaultParagraphFont"/>
    <w:link w:val="FootnoteText"/>
    <w:uiPriority w:val="99"/>
    <w:rsid w:val="00956AAE"/>
    <w:rPr>
      <w:rFonts w:ascii="Times New Roman" w:hAnsi="Times New Roman"/>
      <w:sz w:val="24"/>
      <w:szCs w:val="20"/>
    </w:rPr>
  </w:style>
  <w:style w:type="paragraph" w:styleId="TOC1">
    <w:name w:val="toc 1"/>
    <w:basedOn w:val="Normal"/>
    <w:next w:val="Normal"/>
    <w:autoRedefine/>
    <w:uiPriority w:val="39"/>
    <w:unhideWhenUsed/>
    <w:rsid w:val="00EB164F"/>
    <w:pPr>
      <w:tabs>
        <w:tab w:val="left" w:pos="440"/>
        <w:tab w:val="right" w:leader="dot" w:pos="9350"/>
      </w:tabs>
      <w:spacing w:after="100"/>
      <w:ind w:left="720" w:hanging="720"/>
    </w:pPr>
    <w:rPr>
      <w:rFonts w:ascii="Times New Roman" w:hAnsi="Times New Roman" w:cstheme="minorBidi"/>
      <w:noProof/>
      <w:sz w:val="24"/>
    </w:rPr>
  </w:style>
  <w:style w:type="paragraph" w:styleId="TOC2">
    <w:name w:val="toc 2"/>
    <w:basedOn w:val="Normal"/>
    <w:next w:val="Normal"/>
    <w:autoRedefine/>
    <w:uiPriority w:val="39"/>
    <w:unhideWhenUsed/>
    <w:rsid w:val="00EB164F"/>
    <w:pPr>
      <w:spacing w:after="100"/>
      <w:ind w:left="720" w:hanging="360"/>
    </w:pPr>
    <w:rPr>
      <w:rFonts w:ascii="Times New Roman" w:hAnsi="Times New Roman" w:cstheme="minorBidi"/>
      <w:sz w:val="24"/>
    </w:rPr>
  </w:style>
  <w:style w:type="paragraph" w:styleId="TOC3">
    <w:name w:val="toc 3"/>
    <w:basedOn w:val="Normal"/>
    <w:next w:val="Normal"/>
    <w:autoRedefine/>
    <w:uiPriority w:val="39"/>
    <w:unhideWhenUsed/>
    <w:rsid w:val="00EB164F"/>
    <w:pPr>
      <w:tabs>
        <w:tab w:val="left" w:pos="880"/>
        <w:tab w:val="right" w:leader="dot" w:pos="9350"/>
      </w:tabs>
      <w:spacing w:after="100"/>
      <w:ind w:left="1080" w:hanging="360"/>
    </w:pPr>
    <w:rPr>
      <w:rFonts w:ascii="Times New Roman" w:hAnsi="Times New Roman" w:cstheme="minorBidi"/>
      <w:sz w:val="24"/>
    </w:rPr>
  </w:style>
  <w:style w:type="character" w:customStyle="1" w:styleId="Heading1Char">
    <w:name w:val="Heading 1 Char"/>
    <w:basedOn w:val="DefaultParagraphFont"/>
    <w:link w:val="Heading1"/>
    <w:uiPriority w:val="9"/>
    <w:rsid w:val="008B50AB"/>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8B50AB"/>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8B50AB"/>
    <w:rPr>
      <w:rFonts w:ascii="Times New Roman" w:eastAsiaTheme="majorEastAsia" w:hAnsi="Times New Roman" w:cstheme="majorBidi"/>
      <w:i/>
      <w:sz w:val="24"/>
      <w:szCs w:val="24"/>
    </w:rPr>
  </w:style>
  <w:style w:type="character" w:styleId="Hyperlink">
    <w:name w:val="Hyperlink"/>
    <w:basedOn w:val="DefaultParagraphFont"/>
    <w:uiPriority w:val="99"/>
    <w:unhideWhenUsed/>
    <w:rsid w:val="004402E8"/>
    <w:rPr>
      <w:color w:val="0000FF"/>
      <w:u w:val="single"/>
    </w:rPr>
  </w:style>
  <w:style w:type="character" w:styleId="UnresolvedMention">
    <w:name w:val="Unresolved Mention"/>
    <w:basedOn w:val="DefaultParagraphFont"/>
    <w:uiPriority w:val="99"/>
    <w:semiHidden/>
    <w:unhideWhenUsed/>
    <w:rsid w:val="00FF4951"/>
    <w:rPr>
      <w:color w:val="605E5C"/>
      <w:shd w:val="clear" w:color="auto" w:fill="E1DFDD"/>
    </w:rPr>
  </w:style>
  <w:style w:type="character" w:styleId="FollowedHyperlink">
    <w:name w:val="FollowedHyperlink"/>
    <w:basedOn w:val="DefaultParagraphFont"/>
    <w:uiPriority w:val="99"/>
    <w:semiHidden/>
    <w:unhideWhenUsed/>
    <w:rsid w:val="00347A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7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ventcenter.commpartners.com/se/Meetings/Playback_new.aspx?meeting.id=840977" TargetMode="External"/><Relationship Id="rId13" Type="http://schemas.openxmlformats.org/officeDocument/2006/relationships/hyperlink" Target="https://www.americanimmigrationcouncil.org/sites/default/files/practice_advisory/lac_pa_0406.pdf" TargetMode="External"/><Relationship Id="rId18" Type="http://schemas.openxmlformats.org/officeDocument/2006/relationships/hyperlink" Target="https://www.supremecourt.gov/DocketPDF/16/16-1363/59187/20180810170121240_16-1363bsacNationalImmigrantJusticeCenter.pdf%208-10-18.pdf" TargetMode="External"/><Relationship Id="rId3" Type="http://schemas.openxmlformats.org/officeDocument/2006/relationships/settings" Target="settings.xml"/><Relationship Id="rId21" Type="http://schemas.openxmlformats.org/officeDocument/2006/relationships/hyperlink" Target="https://www.aclu.org/cases/hernandez-v-sessions" TargetMode="External"/><Relationship Id="rId7" Type="http://schemas.openxmlformats.org/officeDocument/2006/relationships/hyperlink" Target="http://eventcenter.commpartners.com/se/Meetings/Playback_new.aspx?meeting.id=823630" TargetMode="External"/><Relationship Id="rId12" Type="http://schemas.openxmlformats.org/officeDocument/2006/relationships/hyperlink" Target="https://cliniclegal.org/sites/default/files/A-Guide-to-Obtaining-Release-from-Immigration-Detention.pdf" TargetMode="External"/><Relationship Id="rId17" Type="http://schemas.openxmlformats.org/officeDocument/2006/relationships/hyperlink" Target="https://www.aclu.org/cases/nielsen-v-preap" TargetMode="External"/><Relationship Id="rId2" Type="http://schemas.openxmlformats.org/officeDocument/2006/relationships/styles" Target="styles.xml"/><Relationship Id="rId16" Type="http://schemas.openxmlformats.org/officeDocument/2006/relationships/hyperlink" Target="https://www.aclu.org/sites/default/files/field_document/2018_03_21_jennings_v_rodriguez_practice_advisory.pdf" TargetMode="External"/><Relationship Id="rId20" Type="http://schemas.openxmlformats.org/officeDocument/2006/relationships/hyperlink" Target="https://www.aclum.org/en/cases/pensamiento-v-mcdonald" TargetMode="External"/><Relationship Id="rId1" Type="http://schemas.openxmlformats.org/officeDocument/2006/relationships/numbering" Target="numbering.xml"/><Relationship Id="rId6" Type="http://schemas.openxmlformats.org/officeDocument/2006/relationships/hyperlink" Target="https://vimeo.com/88083771" TargetMode="External"/><Relationship Id="rId11" Type="http://schemas.openxmlformats.org/officeDocument/2006/relationships/hyperlink" Target="http://eventcenter.commpartners.com/se/Meetings/Playback_new.aspx?meeting.id=807880" TargetMode="External"/><Relationship Id="rId5" Type="http://schemas.openxmlformats.org/officeDocument/2006/relationships/hyperlink" Target="https://vimeo.com/84047260" TargetMode="External"/><Relationship Id="rId15" Type="http://schemas.openxmlformats.org/officeDocument/2006/relationships/hyperlink" Target="https://www.prolongeddetentionstories.org/" TargetMode="External"/><Relationship Id="rId23" Type="http://schemas.openxmlformats.org/officeDocument/2006/relationships/theme" Target="theme/theme1.xml"/><Relationship Id="rId10" Type="http://schemas.openxmlformats.org/officeDocument/2006/relationships/hyperlink" Target="http://eventcenter.commpartners.com/se/Meetings/Playback_new.aspx?meeting.id=471169" TargetMode="External"/><Relationship Id="rId19" Type="http://schemas.openxmlformats.org/officeDocument/2006/relationships/hyperlink" Target="https://www.oyez.org/cases/2018/16-1363" TargetMode="External"/><Relationship Id="rId4" Type="http://schemas.openxmlformats.org/officeDocument/2006/relationships/webSettings" Target="webSettings.xml"/><Relationship Id="rId9" Type="http://schemas.openxmlformats.org/officeDocument/2006/relationships/hyperlink" Target="http://eventcenter.commpartners.com/se/Meetings/Playback_new.aspx?meeting.id=712114" TargetMode="External"/><Relationship Id="rId14" Type="http://schemas.openxmlformats.org/officeDocument/2006/relationships/hyperlink" Target="https://www.supremecourt.gov/opinions/17pdf/15-1204_f29g.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Bruning</dc:creator>
  <cp:keywords/>
  <dc:description/>
  <cp:lastModifiedBy>John Bruning</cp:lastModifiedBy>
  <cp:revision>3</cp:revision>
  <dcterms:created xsi:type="dcterms:W3CDTF">2018-12-19T20:55:00Z</dcterms:created>
  <dcterms:modified xsi:type="dcterms:W3CDTF">2018-12-19T22:14:00Z</dcterms:modified>
</cp:coreProperties>
</file>